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征求部门意见及采纳情况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说明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本办法已以书面形式征求市、县（市、区）财政部门和人力社保部门的意见，并于4月1日起在省财政厅门户网站主动公开征求意见7个工作日，无反馈意见。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66F5E"/>
    <w:rsid w:val="28666F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2019-04-30T04:54:00Z</dcterms:created>
  <dc:creator>张志华</dc:creator>
  <cp:lastModifiedBy>张志华</cp:lastModifiedBy>
  <dcterms:modified xsi:type="dcterms:W3CDTF">2019-04-30T04:54:20Z</dcterms:modified>
  <dc:title>征求部门意见及采纳情况说明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