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第四十七期</w:t>
      </w:r>
    </w:p>
    <w:p>
      <w:pPr>
        <w:jc w:val="left"/>
        <w:rPr>
          <w:rFonts w:hint="eastAsia" w:ascii="楷体_GB2312" w:hAnsi="楷体_GB2312" w:eastAsia="楷体_GB2312"/>
          <w:b/>
          <w:sz w:val="32"/>
          <w:szCs w:val="32"/>
          <w:lang w:val="en-US" w:eastAsia="zh-CN"/>
        </w:rPr>
      </w:pPr>
    </w:p>
    <w:p>
      <w:pPr>
        <w:jc w:val="center"/>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厅妇委会编                            2020年7月</w:t>
      </w:r>
    </w:p>
    <w:p>
      <w:pPr>
        <w:jc w:val="left"/>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joptbVAAAABwEAAA8A&#10;AAAAAAAAAQAgAAAAIgAAAGRycy9kb3ducmV2LnhtbFBLAQIUABQAAAAIAIdO4kAM1Iw14QEAAKcD&#10;AAAOAAAAAAAAAAEAIAAAACQBAABkcnMvZTJvRG9jLnhtbFBLBQYAAAAABgAGAFkBAAB3BQAAAAA=&#10;">
                <v:fill on="f" focussize="0,0"/>
                <v:stroke weight="1.5pt" color="#FF0000" joinstyle="round"/>
                <v:imagedata o:title=""/>
                <o:lock v:ext="edit" aspectratio="f"/>
              </v:line>
            </w:pict>
          </mc:Fallback>
        </mc:AlternateContent>
      </w:r>
    </w:p>
    <w:p>
      <w:pPr>
        <w:pStyle w:val="2"/>
        <w:keepNext w:val="0"/>
        <w:keepLines w:val="0"/>
        <w:widowControl/>
        <w:suppressLineNumbers w:val="0"/>
        <w:wordWrap/>
        <w:spacing w:before="0" w:beforeAutospacing="0" w:after="0" w:afterAutospacing="0"/>
        <w:ind w:left="0" w:right="0"/>
        <w:jc w:val="center"/>
        <w:rPr>
          <w:rFonts w:hint="default" w:ascii="华文行楷" w:hAnsi="华文行楷" w:eastAsia="华文行楷" w:cs="Times New Roman"/>
          <w:b w:val="0"/>
          <w:bCs/>
          <w:kern w:val="2"/>
          <w:sz w:val="36"/>
          <w:szCs w:val="32"/>
          <w:lang w:val="en-US" w:eastAsia="zh-CN" w:bidi="ar-SA"/>
        </w:rPr>
      </w:pPr>
      <w:r>
        <w:rPr>
          <w:rFonts w:hint="default" w:ascii="华文行楷" w:hAnsi="华文行楷" w:eastAsia="华文行楷" w:cs="Times New Roman"/>
          <w:b w:val="0"/>
          <w:bCs/>
          <w:kern w:val="2"/>
          <w:sz w:val="36"/>
          <w:szCs w:val="32"/>
          <w:lang w:val="en-US" w:eastAsia="zh-CN" w:bidi="ar-SA"/>
        </w:rPr>
        <w:t>干在实处方能走在前列</w:t>
      </w:r>
    </w:p>
    <w:p>
      <w:pPr>
        <w:widowControl/>
        <w:spacing w:before="100" w:beforeAutospacing="1" w:after="100" w:afterAutospacing="1" w:line="450" w:lineRule="atLeast"/>
        <w:jc w:val="center"/>
        <w:outlineLvl w:val="1"/>
        <w:rPr>
          <w:rFonts w:hint="eastAsia" w:ascii="仿宋_GB2312" w:hAnsi="仿宋_GB2312" w:eastAsia="仿宋_GB2312" w:cs="Times New Roman"/>
          <w:kern w:val="2"/>
          <w:sz w:val="30"/>
          <w:szCs w:val="22"/>
          <w:lang w:val="en-US" w:eastAsia="zh-CN" w:bidi="ar-SA"/>
        </w:rPr>
      </w:pPr>
      <w:r>
        <w:rPr>
          <w:rFonts w:hint="default" w:ascii="仿宋_GB2312" w:hAnsi="仿宋_GB2312" w:eastAsia="仿宋_GB2312" w:cs="Times New Roman"/>
          <w:kern w:val="2"/>
          <w:sz w:val="30"/>
          <w:szCs w:val="22"/>
          <w:lang w:val="en-US" w:eastAsia="zh-CN" w:bidi="ar-SA"/>
        </w:rPr>
        <w:t>沈轩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浙江省委十四届七次全会召开以来，浙江全省上下围绕深入学习贯彻习近平总书记考察浙江重要讲话精神、努力建设新时代全面展示中国特色社会主义制度优越性重要窗口，明确责任，细化目标，勠力同心，为“重要窗口”建设提成色、添亮色。在学习和实践中，广大党员干部越发感受到，建设“重要窗口”是一个深学笃用、知行合一的过程，任何一项工作要走在前、创一流，无不需要真抓实干、埋头苦干。</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2005年4月29日，时任浙江省委书记的习近平同志在省委专题学习会上就强调指出，“做到‘走在前列’，就要干在实处”。短短12个字，蕴涵了深邃的哲学思辨。今天，站在建设“重要窗口”新起点上领会习近平同志这一重要论述，仍给人以深刻启迪，需要我们在温故而知新中认识再强化、实践再深化。</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“做到‘走在前列’，就要干在实处”，体现了辩证唯物主义的实践认识论，深刻启迪我们：任何事业都是脚踏实地干出来的，而不是想出来、说出来的。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马克思主义认为，实践是认识的来源，在实践和认识的辩证运动中，主观和认识必须统一于客观和实践。这就意味着我们做任何事情，都必须求真务实、从实践出发，而不是盯着抽象的理论和口号做文章。</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习近平同志在浙江工作时曾指出，“浙江的今天，靠的是发展”。从历史上看，“不兴伪事兴务实”始终是浙江人文精神的基本内核。反对空言说教、注重社会实践，“低调行事，讲求实效”，源自浙江先人不断的积累和阐发，却让浙江人世代受益。改革开放以来特别是实施“八八战略”以来，以“求真务实”为重要内涵的浙江精神在推动浙江各项工作干在实处、走在前列、勇立潮头，加快推进“两个高水平”建设中彰显出不可替代的时代价值。</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“社会主义是干出来的，新时代也是干出来的”。建设“新时代全面展示中国特色社会主义制度优越性的重要窗口”，既是一个需要不断求索的理论体系，更是一项需要久久为功的实事工程。</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物有甘苦，尝之者识；道有夷险，履之者知。”当前，不论是落实创新强省、人才强省战略，还是全面推进改革赋能、数字化赋能，解决有效需求不足等问题，或是用足用活纾困惠企系列政策、深化“三服务”、营造最优营商环境，都是摆在眼前亟待用心用力作答的“必答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一切难题，只有在实干中才能破解；一切办法，只有在实干中才能见效；一切机遇，只有在实干中才能抓住。干在实处，就要树立“实干成就未来”的价值观念，大力弘扬红船精神、浙江精神，引导广大党员干部以谋干、真干、会干为荣，以说空话、讲大话、搞数字游戏为耻，坚决克服形式主义、官僚主义，真正拿出群众看得见、摸得着的成效，争做“重要窗口”建设的实干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“做到‘走在前列’，就要干在实处”，体现了辩证唯物主义的因果关系论，深刻启迪我们：工作干得怎么样，必须用事实来说话、拿成果来评定、以实效来检验。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唯物辩证法特别强调世界的普遍联系，并用实践的观点证明了因果关系的客观性。有因才有果，前因后果不能颠倒，否则就会歪曲事实、得出荒谬的结论。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事莫明于有效，论莫定于有证”，“唯实”是“惟先”的根本前提。习近平同志在浙江工作时就要求党员干部坚决克服“骄、娇”二气，强调“心浮则气必躁，气躁则神难凝”“讲实话是硬本事，干实事是真功夫”“讲真话、报实情，不夸夸其谈、不脱离实际，扎扎实实干出实绩，实实在在让群众满意”。</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大人不华，君子务实”。党的十八大以来，习近平总书记反复告诫全党，“中华民族伟大复兴，绝不是轻轻松松、敲锣打鼓就能实现的”。从浙江来看，建设“重要窗口”，是正在行进之中、仍需艰辛跋涉方可抵达的彼岸，而非已然在眼前、“跳一跳摘桃子”的简单目标。</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浙江省委十四届七次全会提出的从10个方面建设好“重要窗口”，加快形成13项具有中国气派和浙江辨识度的重大标志性成果，每一项内容都来源于以习近平同志为核心的党中央对浙江工作的部署要求、立足于新时代浙江改革发展的重大实践问题，每一项工作无不需要以“逢山开路、遇河架桥”的精神解放思想大胆干、以“踏石留印、抓铁有痕”的劲头步步为营扎实干。</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真抓才能攻坚克难，实干才能梦想成真。越是身处严峻复杂的发展环境，越是肩负艰巨繁重的工作任务，越要说实话、办实事、出实招，恪守实事求是的底线，否则非但不能解决实际问题，还可能引发更大的问题；非但不能服务中心大局，还可能影响干扰决策；非但不能让群众满意，还可能造成更大的矛盾。</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长风过隘口，实干正当时。要强化“名与实对”的唯实求真精神，轻一分务名之心、重一分务实之心，以“名必有实，事必有功”的自省自觉，把全部的心思和精力用以蓄足动能之因，在滚石上山、负重前行中创造出经得起实践、人民、历史检验的实践之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“做到‘走在前列’，就要干在实处”，体现了辩证唯物主义的发展过程论，深刻启迪我们：“走在前列”是发展的、具体的、实践的长期任务，需要以善作善成的韧劲坚持不懈、久久为功抓下去。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马克思主义哲学的过程论告诉我们，“事物总是作为过程而存在，作为过程而发展”。这就要求我们用发展的观点认识问题，把握事物发展的历史必然性和全过程。</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早在2005年4月，习近平同志就指出，“浙江作为我国发展较快、实力较强的省份，也为世界所关注。世界通过我们浙江看到的，是一个历史悠久的伟大民族、一个马克思主义的先进政党和一个13亿人口的泱泱大国。我们取得的成就，是中国改革开放全景中的一个缩影，也是社会主义制度优越性的重要体现”。这与习近平总书记对浙江提出的建设“重要窗口”的新目标新定位要求上一以贯之、目标上一脉相承，充分体现了习近平总书记对浙江的期望期待越来越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从15年前的工作展望寄语，到党的十八大以来赋予浙江“干在实处永无止境，走在前列要谋新篇”的新使命、“秉持浙江精神，干在实处、走在前列、勇立潮头”的新要求、“干在实处永无止境，走在前列要谋新篇，勇立潮头方显担当”的新期望，再到提出建设“重要窗口”的新目标新定位，贯穿其中的是习近平同志对浙江工作“干在实处、走在前列”与时俱增的要求，也深刻启示我们：唯有以永无止境的韧劲坚持干在实处，才能不断书写走在前列的崭新篇章。</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大道至简，实干为要。建设“重要窗口”是远期愿景、中期目标、近期工作的有机衔接。无论是做好当前防疫情、稳企业、增动能、补短板、保平安、正作风各项工作，还是完成下半年“提质提速，奋力实现全年目标任务”、交出高水平全面建成小康社会答卷的使命要求，进而谋篇布局“十四五”、开启高水平现代化建设新征程，在这个逐步展示成效、逐步提高成色的动态过程中，我们必须始终保持“走在前列”的思想自觉，强化“干在实处”的工作导向，在求实、务实、落实中不断推动实践创新创造，努力为“明天的中国”多探路、多闯关、多破题，真正以“浙江之窗”展示好“中国之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right"/>
        <w:textAlignment w:val="auto"/>
        <w:rPr>
          <w:rFonts w:hint="eastAsia" w:ascii="仿宋_GB2312" w:hAnsi="仿宋_GB2312" w:eastAsia="仿宋_GB2312" w:cs="Times New Roman"/>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right"/>
        <w:textAlignment w:val="auto"/>
        <w:rPr>
          <w:rFonts w:hint="eastAsia" w:ascii="仿宋_GB2312" w:hAnsi="仿宋_GB2312" w:eastAsia="仿宋_GB2312" w:cs="Times New Roman"/>
          <w:kern w:val="2"/>
          <w:sz w:val="30"/>
          <w:szCs w:val="22"/>
          <w:lang w:val="en-US" w:eastAsia="zh-CN" w:bidi="ar-SA"/>
        </w:rPr>
      </w:pPr>
      <w:r>
        <w:rPr>
          <w:rFonts w:hint="eastAsia" w:ascii="仿宋_GB2312" w:hAnsi="仿宋_GB2312" w:eastAsia="仿宋_GB2312" w:cs="Times New Roman"/>
          <w:kern w:val="2"/>
          <w:sz w:val="30"/>
          <w:szCs w:val="22"/>
          <w:lang w:val="en-US" w:eastAsia="zh-CN" w:bidi="ar-SA"/>
        </w:rPr>
        <w:t>（</w:t>
      </w:r>
      <w:bookmarkStart w:id="0" w:name="_GoBack"/>
      <w:bookmarkEnd w:id="0"/>
      <w:r>
        <w:rPr>
          <w:rFonts w:hint="eastAsia" w:ascii="仿宋_GB2312" w:hAnsi="仿宋_GB2312" w:eastAsia="仿宋_GB2312" w:cs="Times New Roman"/>
          <w:kern w:val="2"/>
          <w:sz w:val="30"/>
          <w:szCs w:val="22"/>
          <w:lang w:val="en-US" w:eastAsia="zh-CN" w:bidi="ar-SA"/>
        </w:rPr>
        <w:t>“学习强国”</w:t>
      </w:r>
      <w:r>
        <w:rPr>
          <w:rFonts w:hint="eastAsia" w:ascii="仿宋_GB2312" w:hAnsi="仿宋_GB2312" w:eastAsia="仿宋_GB2312" w:cs="Times New Roman"/>
          <w:kern w:val="2"/>
          <w:sz w:val="30"/>
          <w:szCs w:val="22"/>
          <w:lang w:val="en-US" w:eastAsia="zh-CN" w:bidi="ar-SA"/>
        </w:rPr>
        <w:fldChar w:fldCharType="begin"/>
      </w:r>
      <w:r>
        <w:rPr>
          <w:rFonts w:hint="eastAsia" w:ascii="仿宋_GB2312" w:hAnsi="仿宋_GB2312" w:eastAsia="仿宋_GB2312" w:cs="Times New Roman"/>
          <w:kern w:val="2"/>
          <w:sz w:val="30"/>
          <w:szCs w:val="22"/>
          <w:lang w:val="en-US" w:eastAsia="zh-CN" w:bidi="ar-SA"/>
        </w:rPr>
        <w:instrText xml:space="preserve"> HYPERLINK "https://zj.xuexi.cn/" </w:instrText>
      </w:r>
      <w:r>
        <w:rPr>
          <w:rFonts w:hint="eastAsia" w:ascii="仿宋_GB2312" w:hAnsi="仿宋_GB2312" w:eastAsia="仿宋_GB2312" w:cs="Times New Roman"/>
          <w:kern w:val="2"/>
          <w:sz w:val="30"/>
          <w:szCs w:val="22"/>
          <w:lang w:val="en-US" w:eastAsia="zh-CN" w:bidi="ar-SA"/>
        </w:rPr>
        <w:fldChar w:fldCharType="separate"/>
      </w:r>
      <w:r>
        <w:rPr>
          <w:rFonts w:hint="default" w:ascii="仿宋_GB2312" w:hAnsi="仿宋_GB2312" w:eastAsia="仿宋_GB2312" w:cs="Times New Roman"/>
          <w:kern w:val="2"/>
          <w:sz w:val="30"/>
          <w:szCs w:val="22"/>
          <w:lang w:val="en-US" w:eastAsia="zh-CN" w:bidi="ar-SA"/>
        </w:rPr>
        <w:t>浙江学习平台</w:t>
      </w:r>
      <w:r>
        <w:rPr>
          <w:rFonts w:hint="default" w:ascii="仿宋_GB2312" w:hAnsi="仿宋_GB2312" w:eastAsia="仿宋_GB2312" w:cs="Times New Roman"/>
          <w:kern w:val="2"/>
          <w:sz w:val="30"/>
          <w:szCs w:val="22"/>
          <w:lang w:val="en-US" w:eastAsia="zh-CN" w:bidi="ar-SA"/>
        </w:rPr>
        <w:fldChar w:fldCharType="end"/>
      </w:r>
      <w:r>
        <w:rPr>
          <w:rFonts w:hint="eastAsia" w:ascii="仿宋_GB2312" w:hAnsi="仿宋_GB2312" w:eastAsia="仿宋_GB2312" w:cs="Times New Roman"/>
          <w:kern w:val="2"/>
          <w:sz w:val="30"/>
          <w:szCs w:val="22"/>
          <w:lang w:val="en-US" w:eastAsia="zh-CN" w:bidi="ar-SA"/>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00" w:firstLineChars="0"/>
        <w:jc w:val="left"/>
        <w:textAlignment w:val="auto"/>
        <w:rPr>
          <w:rFonts w:hint="eastAsia" w:ascii="仿宋_GB2312" w:hAnsi="仿宋_GB2312" w:eastAsia="仿宋_GB2312" w:cs="Times New Roman"/>
          <w:kern w:val="2"/>
          <w:sz w:val="30"/>
          <w:szCs w:val="22"/>
          <w:lang w:val="en-US" w:eastAsia="zh-CN" w:bidi="ar-SA"/>
        </w:rPr>
      </w:pPr>
    </w:p>
    <w:p>
      <w:pPr>
        <w:jc w:val="left"/>
      </w:pPr>
    </w:p>
    <w:p>
      <w:pPr>
        <w:jc w:val="left"/>
      </w:pPr>
    </w:p>
    <w:p>
      <w:pPr>
        <w:jc w:val="left"/>
      </w:pPr>
    </w:p>
    <w:p>
      <w:pPr>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637B1"/>
    <w:rsid w:val="01BF65BC"/>
    <w:rsid w:val="314637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2020-08-19T02:55:00Z</dcterms:created>
  <dc:creator>袁媛</dc:creator>
  <cp:lastModifiedBy>袁媛</cp:lastModifiedBy>
  <dcterms:modified xsi:type="dcterms:W3CDTF">2020-08-19T02:59:25Z</dcterms:modified>
  <dc:title>省财政厅妇委会学习资料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