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beforeLines="0" w:afterLines="0" w:line="560" w:lineRule="exact"/>
        <w:jc w:val="center"/>
        <w:rPr>
          <w:rFonts w:hint="eastAsia" w:ascii="方正小标宋简体" w:eastAsia="方正小标宋简体"/>
          <w:sz w:val="44"/>
          <w:szCs w:val="44"/>
          <w:lang w:eastAsia="zh-CN"/>
        </w:rPr>
      </w:pPr>
      <w:bookmarkStart w:id="0" w:name="_GoBack"/>
      <w:r>
        <w:rPr>
          <w:rFonts w:hint="eastAsia" w:ascii="方正小标宋简体" w:eastAsia="方正小标宋简体"/>
          <w:sz w:val="44"/>
          <w:lang w:eastAsia="zh-CN"/>
        </w:rPr>
        <w:t>《关于进一步规范财务审计秩序 促进注册会计师行业健康发展的实施意见》</w:t>
      </w:r>
      <w:r>
        <w:rPr>
          <w:rFonts w:hint="eastAsia" w:ascii="方正小标宋简体" w:eastAsia="方正小标宋简体"/>
          <w:sz w:val="44"/>
          <w:szCs w:val="44"/>
          <w:lang w:eastAsia="zh-CN"/>
        </w:rPr>
        <w:t>征求部门意见及采纳情况说明</w:t>
      </w:r>
    </w:p>
    <w:p>
      <w:pPr>
        <w:keepNext w:val="0"/>
        <w:keepLines w:val="0"/>
        <w:pageBreakBefore w:val="0"/>
        <w:widowControl w:val="0"/>
        <w:kinsoku/>
        <w:wordWrap/>
        <w:overflowPunct/>
        <w:topLinePunct w:val="0"/>
        <w:autoSpaceDE/>
        <w:autoSpaceDN/>
        <w:bidi w:val="0"/>
        <w:adjustRightInd/>
        <w:snapToGrid/>
        <w:spacing w:before="240" w:line="600" w:lineRule="exact"/>
        <w:jc w:val="center"/>
        <w:textAlignment w:val="auto"/>
        <w:rPr>
          <w:rFonts w:hint="eastAsia" w:ascii="方正小标宋简体" w:eastAsia="方正小标宋简体"/>
          <w:sz w:val="44"/>
          <w:szCs w:val="44"/>
          <w:lang w:eastAsia="zh-CN"/>
        </w:rPr>
      </w:pP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宋体" w:hAnsi="宋体" w:eastAsia="宋体" w:cs="宋体"/>
          <w:i w:val="0"/>
          <w:caps w:val="0"/>
          <w:color w:val="000000"/>
          <w:spacing w:val="0"/>
          <w:sz w:val="21"/>
          <w:szCs w:val="21"/>
        </w:rPr>
      </w:pPr>
      <w:r>
        <w:rPr>
          <w:rFonts w:ascii="仿宋_GB2312" w:hAnsi="宋体" w:eastAsia="仿宋_GB2312" w:cs="仿宋_GB2312"/>
          <w:i w:val="0"/>
          <w:caps w:val="0"/>
          <w:color w:val="000000"/>
          <w:spacing w:val="0"/>
          <w:kern w:val="0"/>
          <w:sz w:val="32"/>
          <w:szCs w:val="32"/>
          <w:lang w:val="en-US" w:eastAsia="zh-CN" w:bidi="ar"/>
        </w:rPr>
        <w:t>本</w:t>
      </w:r>
      <w:r>
        <w:rPr>
          <w:rFonts w:hint="eastAsia" w:ascii="仿宋_GB2312" w:hAnsi="宋体" w:eastAsia="仿宋_GB2312" w:cs="仿宋_GB2312"/>
          <w:i w:val="0"/>
          <w:caps w:val="0"/>
          <w:color w:val="000000"/>
          <w:spacing w:val="0"/>
          <w:kern w:val="0"/>
          <w:sz w:val="32"/>
          <w:szCs w:val="32"/>
          <w:lang w:val="en-US" w:eastAsia="zh-CN" w:bidi="ar"/>
        </w:rPr>
        <w:t>《实施意见》先后两轮广泛征求各方意见。</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宋体" w:hAnsi="宋体" w:eastAsia="宋体" w:cs="宋体"/>
          <w:i w:val="0"/>
          <w:caps w:val="0"/>
          <w:color w:val="000000"/>
          <w:spacing w:val="0"/>
          <w:sz w:val="21"/>
          <w:szCs w:val="21"/>
        </w:rPr>
      </w:pPr>
      <w:r>
        <w:rPr>
          <w:rFonts w:hint="eastAsia" w:ascii="仿宋_GB2312" w:hAnsi="宋体" w:eastAsia="仿宋_GB2312" w:cs="仿宋_GB2312"/>
          <w:i w:val="0"/>
          <w:caps w:val="0"/>
          <w:color w:val="000000"/>
          <w:spacing w:val="0"/>
          <w:kern w:val="0"/>
          <w:sz w:val="32"/>
          <w:szCs w:val="32"/>
          <w:lang w:val="en-US" w:eastAsia="zh-CN" w:bidi="ar"/>
        </w:rPr>
        <w:t>2021年12月，以书面形式向全省注册会计师行业联席会议13家成员单位、市级财政部门、10余家会计师事务所征求意见，共收到反馈意见29条,其中采纳及部分采纳意见16条，与反馈单位（部门）沟通后不予采纳意见13条，具体反馈意见及最终采纳情况详见《</w:t>
      </w:r>
      <w:r>
        <w:rPr>
          <w:rFonts w:hint="eastAsia" w:ascii="仿宋_GB2312" w:hAnsi="宋体" w:eastAsia="仿宋_GB2312" w:cs="仿宋_GB2312"/>
          <w:color w:val="000000"/>
          <w:kern w:val="0"/>
          <w:sz w:val="32"/>
          <w:szCs w:val="32"/>
          <w:lang w:bidi="ar"/>
        </w:rPr>
        <w:t>浙江省财政厅等十四部门关于进一步规范财务审计秩序 促进注册会计师行业健康发展的实施意见反馈意见汇总表</w:t>
      </w:r>
      <w:r>
        <w:rPr>
          <w:rFonts w:hint="eastAsia" w:ascii="仿宋_GB2312" w:hAnsi="宋体" w:eastAsia="仿宋_GB2312" w:cs="仿宋_GB2312"/>
          <w:i w:val="0"/>
          <w:caps w:val="0"/>
          <w:color w:val="000000"/>
          <w:spacing w:val="0"/>
          <w:kern w:val="0"/>
          <w:sz w:val="32"/>
          <w:szCs w:val="32"/>
          <w:lang w:val="en-US" w:eastAsia="zh-CN" w:bidi="ar"/>
        </w:rPr>
        <w:t>》。因市级财政部门意见已总结涵盖当地会计师事务所意见，故在表中未再单独罗列会计师事务所意见采纳情况。</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宋体" w:eastAsia="仿宋_GB2312" w:cs="仿宋_GB2312"/>
          <w:i w:val="0"/>
          <w:caps w:val="0"/>
          <w:color w:val="000000"/>
          <w:spacing w:val="0"/>
          <w:kern w:val="0"/>
          <w:sz w:val="32"/>
          <w:szCs w:val="32"/>
          <w:lang w:val="en-US" w:eastAsia="zh-CN" w:bidi="ar"/>
        </w:rPr>
        <w:t>2022年1月21日起在省财政厅门户网站主动公开征求意见7个工作日，未收到反馈意见。</w:t>
      </w:r>
    </w:p>
    <w:p>
      <w:pPr>
        <w:keepNext w:val="0"/>
        <w:keepLines w:val="0"/>
        <w:pageBreakBefore w:val="0"/>
        <w:widowControl w:val="0"/>
        <w:kinsoku/>
        <w:wordWrap/>
        <w:overflowPunct/>
        <w:topLinePunct w:val="0"/>
        <w:autoSpaceDE/>
        <w:autoSpaceDN/>
        <w:bidi w:val="0"/>
        <w:adjustRightInd/>
        <w:snapToGrid/>
        <w:spacing w:before="240" w:line="600" w:lineRule="exact"/>
        <w:ind w:firstLine="640" w:firstLineChars="200"/>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240" w:line="600" w:lineRule="exact"/>
        <w:jc w:val="righ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浙江省财政厅</w:t>
      </w:r>
    </w:p>
    <w:p>
      <w:pPr>
        <w:keepNext w:val="0"/>
        <w:keepLines w:val="0"/>
        <w:pageBreakBefore w:val="0"/>
        <w:widowControl w:val="0"/>
        <w:kinsoku/>
        <w:wordWrap/>
        <w:overflowPunct/>
        <w:topLinePunct w:val="0"/>
        <w:autoSpaceDE/>
        <w:autoSpaceDN/>
        <w:bidi w:val="0"/>
        <w:adjustRightInd/>
        <w:snapToGrid/>
        <w:spacing w:line="600" w:lineRule="exact"/>
        <w:jc w:val="righ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2022年4月7日</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eastAsia="方正小标宋简体"/>
          <w:sz w:val="44"/>
          <w:szCs w:val="44"/>
        </w:rPr>
      </w:pPr>
    </w:p>
    <w:p>
      <w:pPr>
        <w:rPr>
          <w:rFonts w:hint="eastAsia" w:ascii="方正小标宋简体" w:eastAsia="方正小标宋简体"/>
          <w:sz w:val="44"/>
          <w:szCs w:val="44"/>
        </w:rPr>
        <w:sectPr>
          <w:pgSz w:w="11906" w:h="16838"/>
          <w:pgMar w:top="1440" w:right="1800" w:bottom="1440" w:left="1800" w:header="851" w:footer="992" w:gutter="0"/>
          <w:cols w:space="720" w:num="1"/>
          <w:rtlGutter w:val="0"/>
          <w:docGrid w:type="lines" w:linePitch="312" w:charSpace="0"/>
        </w:sectPr>
      </w:pPr>
    </w:p>
    <w:p>
      <w:pPr>
        <w:spacing w:before="240" w:line="600" w:lineRule="exact"/>
        <w:jc w:val="center"/>
        <w:rPr>
          <w:rFonts w:ascii="方正小标宋简体" w:eastAsia="方正小标宋简体"/>
          <w:sz w:val="44"/>
          <w:szCs w:val="44"/>
        </w:rPr>
      </w:pPr>
      <w:r>
        <w:rPr>
          <w:rFonts w:hint="eastAsia" w:ascii="方正小标宋简体" w:eastAsia="方正小标宋简体"/>
          <w:sz w:val="44"/>
          <w:lang w:eastAsia="zh-CN"/>
        </w:rPr>
        <w:t>浙江省财政厅等十四部门</w:t>
      </w:r>
      <w:r>
        <w:rPr>
          <w:rFonts w:hint="eastAsia" w:ascii="方正小标宋简体" w:eastAsia="方正小标宋简体"/>
          <w:sz w:val="44"/>
          <w:szCs w:val="44"/>
        </w:rPr>
        <w:t>关于进一步规范财务审计秩序 促进注册会计师行业健康发展的实施意见反馈意见汇总表</w:t>
      </w:r>
    </w:p>
    <w:p>
      <w:pPr>
        <w:spacing w:before="240" w:line="600" w:lineRule="exact"/>
        <w:jc w:val="center"/>
        <w:rPr>
          <w:rFonts w:ascii="方正小标宋简体" w:eastAsia="方正小标宋简体"/>
          <w:sz w:val="44"/>
          <w:szCs w:val="44"/>
        </w:rPr>
      </w:pPr>
    </w:p>
    <w:tbl>
      <w:tblPr>
        <w:tblStyle w:val="5"/>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7938"/>
        <w:gridCol w:w="1559"/>
        <w:gridCol w:w="38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0" w:hRule="atLeast"/>
        </w:trPr>
        <w:tc>
          <w:tcPr>
            <w:tcW w:w="817" w:type="dxa"/>
            <w:vAlign w:val="top"/>
          </w:tcPr>
          <w:p>
            <w:pPr>
              <w:spacing w:line="600" w:lineRule="exact"/>
              <w:jc w:val="center"/>
              <w:rPr>
                <w:rFonts w:hint="eastAsia" w:ascii="楷体_GB2312" w:eastAsia="楷体_GB2312"/>
                <w:b/>
                <w:bCs/>
                <w:sz w:val="32"/>
                <w:szCs w:val="32"/>
              </w:rPr>
            </w:pPr>
            <w:r>
              <w:rPr>
                <w:rFonts w:hint="eastAsia" w:ascii="楷体_GB2312" w:eastAsia="楷体_GB2312"/>
                <w:b/>
                <w:bCs/>
                <w:sz w:val="32"/>
                <w:szCs w:val="32"/>
              </w:rPr>
              <w:t>序号</w:t>
            </w:r>
          </w:p>
        </w:tc>
        <w:tc>
          <w:tcPr>
            <w:tcW w:w="7938" w:type="dxa"/>
            <w:vAlign w:val="center"/>
          </w:tcPr>
          <w:p>
            <w:pPr>
              <w:spacing w:line="600" w:lineRule="exact"/>
              <w:jc w:val="center"/>
              <w:rPr>
                <w:rFonts w:hint="eastAsia" w:ascii="楷体_GB2312" w:eastAsia="楷体_GB2312"/>
                <w:b/>
                <w:bCs/>
                <w:sz w:val="32"/>
                <w:szCs w:val="32"/>
              </w:rPr>
            </w:pPr>
            <w:r>
              <w:rPr>
                <w:rFonts w:hint="eastAsia" w:ascii="楷体_GB2312" w:eastAsia="楷体_GB2312"/>
                <w:b/>
                <w:bCs/>
                <w:sz w:val="32"/>
                <w:szCs w:val="32"/>
              </w:rPr>
              <w:t>建议意见</w:t>
            </w:r>
          </w:p>
        </w:tc>
        <w:tc>
          <w:tcPr>
            <w:tcW w:w="1559" w:type="dxa"/>
            <w:vAlign w:val="center"/>
          </w:tcPr>
          <w:p>
            <w:pPr>
              <w:spacing w:line="600" w:lineRule="exact"/>
              <w:jc w:val="center"/>
              <w:rPr>
                <w:rFonts w:hint="eastAsia" w:ascii="楷体_GB2312" w:eastAsia="楷体_GB2312"/>
                <w:b/>
                <w:bCs/>
                <w:sz w:val="32"/>
                <w:szCs w:val="32"/>
              </w:rPr>
            </w:pPr>
            <w:r>
              <w:rPr>
                <w:rFonts w:hint="eastAsia" w:ascii="楷体_GB2312" w:eastAsia="楷体_GB2312"/>
                <w:b/>
                <w:bCs/>
                <w:sz w:val="32"/>
                <w:szCs w:val="32"/>
              </w:rPr>
              <w:t>相关单位</w:t>
            </w:r>
          </w:p>
        </w:tc>
        <w:tc>
          <w:tcPr>
            <w:tcW w:w="3860" w:type="dxa"/>
            <w:vAlign w:val="center"/>
          </w:tcPr>
          <w:p>
            <w:pPr>
              <w:spacing w:line="600" w:lineRule="exact"/>
              <w:jc w:val="center"/>
              <w:rPr>
                <w:rFonts w:hint="eastAsia" w:ascii="楷体_GB2312" w:eastAsia="楷体_GB2312"/>
                <w:b/>
                <w:bCs/>
                <w:sz w:val="32"/>
                <w:szCs w:val="32"/>
              </w:rPr>
            </w:pPr>
            <w:r>
              <w:rPr>
                <w:rFonts w:hint="eastAsia" w:ascii="楷体_GB2312" w:eastAsia="楷体_GB2312"/>
                <w:b/>
                <w:bCs/>
                <w:sz w:val="32"/>
                <w:szCs w:val="32"/>
              </w:rPr>
              <w:t>意见采纳情况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67" w:hRule="atLeast"/>
        </w:trPr>
        <w:tc>
          <w:tcPr>
            <w:tcW w:w="817" w:type="dxa"/>
            <w:vAlign w:val="center"/>
          </w:tcPr>
          <w:p>
            <w:pPr>
              <w:spacing w:line="600" w:lineRule="exact"/>
              <w:jc w:val="center"/>
              <w:rPr>
                <w:rFonts w:hint="eastAsia" w:ascii="仿宋_GB2312" w:eastAsia="仿宋_GB2312"/>
                <w:sz w:val="32"/>
                <w:szCs w:val="32"/>
                <w:lang w:val="en-US" w:eastAsia="zh-CN"/>
              </w:rPr>
            </w:pPr>
            <w:r>
              <w:rPr>
                <w:rFonts w:hint="eastAsia" w:ascii="仿宋_GB2312" w:eastAsia="仿宋_GB2312"/>
                <w:sz w:val="32"/>
                <w:szCs w:val="32"/>
                <w:lang w:val="en-US" w:eastAsia="zh-CN"/>
              </w:rPr>
              <w:t>1</w:t>
            </w:r>
          </w:p>
        </w:tc>
        <w:tc>
          <w:tcPr>
            <w:tcW w:w="7938" w:type="dxa"/>
            <w:vAlign w:val="center"/>
          </w:tcPr>
          <w:p>
            <w:pPr>
              <w:spacing w:line="600" w:lineRule="exact"/>
              <w:rPr>
                <w:rFonts w:hint="eastAsia" w:ascii="仿宋_GB2312" w:hAnsi="Calibri" w:eastAsia="仿宋_GB2312" w:cs="Times New Roman"/>
                <w:color w:val="auto"/>
                <w:kern w:val="2"/>
                <w:sz w:val="32"/>
                <w:szCs w:val="32"/>
                <w:lang w:val="en-US" w:eastAsia="zh-CN" w:bidi="ar-SA"/>
              </w:rPr>
            </w:pPr>
            <w:r>
              <w:rPr>
                <w:rFonts w:hint="eastAsia" w:ascii="仿宋_GB2312" w:eastAsia="仿宋_GB2312"/>
                <w:sz w:val="32"/>
                <w:szCs w:val="32"/>
              </w:rPr>
              <w:t>三（七）联席会议成员中的“省人大常委会法工委”修改为日常联系财政工作的“省人大常委会财经工委”。</w:t>
            </w:r>
          </w:p>
        </w:tc>
        <w:tc>
          <w:tcPr>
            <w:tcW w:w="1559" w:type="dxa"/>
            <w:vAlign w:val="center"/>
          </w:tcPr>
          <w:p>
            <w:pPr>
              <w:spacing w:line="600" w:lineRule="exact"/>
              <w:jc w:val="center"/>
              <w:rPr>
                <w:rFonts w:hint="eastAsia" w:ascii="仿宋_GB2312" w:hAnsi="Calibri" w:eastAsia="仿宋_GB2312" w:cs="Times New Roman"/>
                <w:color w:val="auto"/>
                <w:kern w:val="2"/>
                <w:sz w:val="32"/>
                <w:szCs w:val="32"/>
                <w:lang w:val="en-US" w:eastAsia="zh-CN" w:bidi="ar-SA"/>
              </w:rPr>
            </w:pPr>
            <w:r>
              <w:rPr>
                <w:rFonts w:hint="eastAsia" w:ascii="仿宋_GB2312" w:eastAsia="仿宋_GB2312"/>
                <w:sz w:val="32"/>
                <w:szCs w:val="32"/>
              </w:rPr>
              <w:t>省人大常委会法工委</w:t>
            </w:r>
          </w:p>
        </w:tc>
        <w:tc>
          <w:tcPr>
            <w:tcW w:w="3860" w:type="dxa"/>
            <w:vAlign w:val="center"/>
          </w:tcPr>
          <w:p>
            <w:pPr>
              <w:spacing w:line="600" w:lineRule="exact"/>
              <w:jc w:val="center"/>
              <w:rPr>
                <w:rFonts w:hint="eastAsia" w:ascii="仿宋_GB2312" w:hAnsi="Calibri" w:eastAsia="仿宋_GB2312" w:cs="Times New Roman"/>
                <w:color w:val="auto"/>
                <w:kern w:val="2"/>
                <w:sz w:val="32"/>
                <w:szCs w:val="32"/>
                <w:lang w:val="en-US" w:eastAsia="zh-CN" w:bidi="ar-SA"/>
              </w:rPr>
            </w:pPr>
            <w:r>
              <w:rPr>
                <w:rFonts w:hint="eastAsia" w:ascii="仿宋_GB2312" w:eastAsia="仿宋_GB2312"/>
                <w:sz w:val="32"/>
                <w:szCs w:val="32"/>
              </w:rPr>
              <w:t>采纳。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90" w:hRule="atLeast"/>
        </w:trPr>
        <w:tc>
          <w:tcPr>
            <w:tcW w:w="817" w:type="dxa"/>
            <w:vAlign w:val="center"/>
          </w:tcPr>
          <w:p>
            <w:pPr>
              <w:spacing w:line="600" w:lineRule="exact"/>
              <w:jc w:val="center"/>
              <w:rPr>
                <w:rFonts w:hint="eastAsia" w:ascii="仿宋_GB2312" w:eastAsia="仿宋_GB2312"/>
                <w:sz w:val="32"/>
                <w:szCs w:val="32"/>
                <w:lang w:val="en-US" w:eastAsia="zh-CN"/>
              </w:rPr>
            </w:pPr>
            <w:r>
              <w:rPr>
                <w:rFonts w:hint="eastAsia" w:ascii="仿宋_GB2312" w:eastAsia="仿宋_GB2312"/>
                <w:sz w:val="32"/>
                <w:szCs w:val="32"/>
                <w:lang w:val="en-US" w:eastAsia="zh-CN"/>
              </w:rPr>
              <w:t>2</w:t>
            </w:r>
          </w:p>
        </w:tc>
        <w:tc>
          <w:tcPr>
            <w:tcW w:w="7938" w:type="dxa"/>
            <w:vAlign w:val="center"/>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楷体_GB2312" w:hAnsi="Calibri" w:eastAsia="楷体_GB2312" w:cs="Times New Roman"/>
                <w:b/>
                <w:bCs/>
                <w:color w:val="auto"/>
                <w:kern w:val="2"/>
                <w:sz w:val="32"/>
                <w:szCs w:val="32"/>
                <w:lang w:val="en-US" w:eastAsia="zh-CN" w:bidi="ar-SA"/>
              </w:rPr>
            </w:pPr>
            <w:r>
              <w:rPr>
                <w:rFonts w:ascii="仿宋_GB2312" w:eastAsia="仿宋_GB2312"/>
                <w:b w:val="0"/>
                <w:bCs w:val="0"/>
                <w:i w:val="0"/>
                <w:iCs w:val="0"/>
                <w:caps w:val="0"/>
                <w:smallCaps w:val="0"/>
                <w:color w:val="auto"/>
                <w:spacing w:val="0"/>
                <w:sz w:val="32"/>
                <w:szCs w:val="32"/>
                <w:shd w:val="clear" w:color="auto" w:fill="FFFFFF"/>
              </w:rPr>
              <w:t>“（七）推动建立协同监管机制”一段中，建议将第二行“省人大常委会财经工委”修改为“省人大财经委”。</w:t>
            </w:r>
          </w:p>
        </w:tc>
        <w:tc>
          <w:tcPr>
            <w:tcW w:w="1559" w:type="dxa"/>
            <w:vAlign w:val="center"/>
          </w:tcPr>
          <w:p>
            <w:pPr>
              <w:spacing w:line="600" w:lineRule="exact"/>
              <w:jc w:val="center"/>
              <w:rPr>
                <w:rFonts w:hint="eastAsia" w:ascii="楷体_GB2312" w:hAnsi="Calibri" w:eastAsia="楷体_GB2312" w:cs="Times New Roman"/>
                <w:b/>
                <w:bCs/>
                <w:color w:val="auto"/>
                <w:kern w:val="2"/>
                <w:sz w:val="32"/>
                <w:szCs w:val="32"/>
                <w:lang w:val="en-US" w:eastAsia="zh-CN" w:bidi="ar-SA"/>
              </w:rPr>
            </w:pPr>
            <w:r>
              <w:rPr>
                <w:rFonts w:hint="eastAsia" w:ascii="仿宋_GB2312" w:eastAsia="仿宋_GB2312"/>
                <w:sz w:val="32"/>
                <w:szCs w:val="32"/>
                <w:lang w:eastAsia="zh-CN"/>
              </w:rPr>
              <w:t>省人大财经委</w:t>
            </w:r>
          </w:p>
        </w:tc>
        <w:tc>
          <w:tcPr>
            <w:tcW w:w="3860" w:type="dxa"/>
            <w:vAlign w:val="center"/>
          </w:tcPr>
          <w:p>
            <w:pPr>
              <w:spacing w:line="600" w:lineRule="exact"/>
              <w:jc w:val="center"/>
              <w:rPr>
                <w:rFonts w:hint="eastAsia" w:ascii="楷体_GB2312" w:hAnsi="Calibri" w:eastAsia="楷体_GB2312" w:cs="Times New Roman"/>
                <w:b/>
                <w:bCs/>
                <w:color w:val="auto"/>
                <w:kern w:val="2"/>
                <w:sz w:val="32"/>
                <w:szCs w:val="32"/>
                <w:lang w:val="en-US" w:eastAsia="zh-CN" w:bidi="ar-SA"/>
              </w:rPr>
            </w:pPr>
            <w:r>
              <w:rPr>
                <w:rFonts w:hint="eastAsia" w:ascii="仿宋_GB2312" w:hAnsi="仿宋_GB2312" w:eastAsia="仿宋_GB2312" w:cs="仿宋_GB2312"/>
                <w:b w:val="0"/>
                <w:bCs w:val="0"/>
                <w:sz w:val="32"/>
                <w:szCs w:val="32"/>
                <w:lang w:eastAsia="zh-CN"/>
              </w:rPr>
              <w:t>采纳。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817" w:type="dxa"/>
            <w:vAlign w:val="center"/>
          </w:tcPr>
          <w:p>
            <w:pPr>
              <w:spacing w:line="600" w:lineRule="exact"/>
              <w:jc w:val="center"/>
              <w:rPr>
                <w:rFonts w:hint="eastAsia" w:ascii="楷体_GB2312" w:eastAsia="楷体_GB2312"/>
                <w:b/>
                <w:bCs/>
                <w:sz w:val="32"/>
                <w:szCs w:val="32"/>
                <w:lang w:val="en-US" w:eastAsia="zh-CN"/>
              </w:rPr>
            </w:pPr>
            <w:r>
              <w:rPr>
                <w:rFonts w:hint="eastAsia" w:ascii="仿宋_GB2312" w:eastAsia="仿宋_GB2312"/>
                <w:b w:val="0"/>
                <w:bCs w:val="0"/>
                <w:i w:val="0"/>
                <w:iCs w:val="0"/>
                <w:caps w:val="0"/>
                <w:smallCaps w:val="0"/>
                <w:color w:val="auto"/>
                <w:spacing w:val="0"/>
                <w:sz w:val="32"/>
                <w:szCs w:val="32"/>
                <w:shd w:val="clear" w:color="auto" w:fill="FFFFFF"/>
                <w:lang w:val="en-US" w:eastAsia="zh-CN"/>
              </w:rPr>
              <w:t>3</w:t>
            </w:r>
          </w:p>
        </w:tc>
        <w:tc>
          <w:tcPr>
            <w:tcW w:w="7938" w:type="dxa"/>
            <w:vAlign w:val="center"/>
          </w:tcPr>
          <w:p>
            <w:pPr>
              <w:spacing w:line="600" w:lineRule="exact"/>
              <w:jc w:val="left"/>
              <w:rPr>
                <w:rFonts w:hint="eastAsia" w:ascii="楷体_GB2312" w:hAnsi="Calibri" w:eastAsia="楷体_GB2312" w:cs="Times New Roman"/>
                <w:b/>
                <w:bCs/>
                <w:color w:val="auto"/>
                <w:kern w:val="2"/>
                <w:sz w:val="32"/>
                <w:szCs w:val="32"/>
                <w:lang w:val="en-US" w:eastAsia="zh-CN" w:bidi="ar-SA"/>
              </w:rPr>
            </w:pPr>
            <w:r>
              <w:rPr>
                <w:rFonts w:ascii="仿宋_GB2312" w:eastAsia="仿宋_GB2312"/>
                <w:b w:val="0"/>
                <w:bCs w:val="0"/>
                <w:i w:val="0"/>
                <w:iCs w:val="0"/>
                <w:caps w:val="0"/>
                <w:smallCaps w:val="0"/>
                <w:color w:val="auto"/>
                <w:spacing w:val="0"/>
                <w:sz w:val="32"/>
                <w:szCs w:val="32"/>
                <w:shd w:val="clear" w:color="auto" w:fill="FFFFFF"/>
              </w:rPr>
              <w:t>“（五）加强行业日常监管”一段中，建议在倒数第三行“畅通投诉举报渠道，优化投诉举报处理机制”后</w:t>
            </w:r>
            <w:r>
              <w:rPr>
                <w:rFonts w:hint="eastAsia" w:ascii="仿宋_GB2312" w:eastAsia="仿宋_GB2312"/>
                <w:b w:val="0"/>
                <w:bCs w:val="0"/>
                <w:i w:val="0"/>
                <w:iCs w:val="0"/>
                <w:caps w:val="0"/>
                <w:smallCaps w:val="0"/>
                <w:color w:val="auto"/>
                <w:spacing w:val="0"/>
                <w:sz w:val="32"/>
                <w:szCs w:val="32"/>
                <w:shd w:val="clear" w:color="auto" w:fill="FFFFFF"/>
              </w:rPr>
              <w:t>增加</w:t>
            </w:r>
            <w:r>
              <w:rPr>
                <w:rFonts w:ascii="仿宋_GB2312" w:eastAsia="仿宋_GB2312"/>
                <w:b w:val="0"/>
                <w:bCs w:val="0"/>
                <w:i w:val="0"/>
                <w:iCs w:val="0"/>
                <w:caps w:val="0"/>
                <w:smallCaps w:val="0"/>
                <w:color w:val="auto"/>
                <w:spacing w:val="0"/>
                <w:sz w:val="32"/>
                <w:szCs w:val="32"/>
                <w:shd w:val="clear" w:color="auto" w:fill="FFFFFF"/>
              </w:rPr>
              <w:t>“</w:t>
            </w:r>
            <w:r>
              <w:rPr>
                <w:rFonts w:hint="eastAsia" w:ascii="仿宋_GB2312" w:eastAsia="仿宋_GB2312"/>
                <w:b w:val="0"/>
                <w:bCs w:val="0"/>
                <w:i w:val="0"/>
                <w:iCs w:val="0"/>
                <w:caps w:val="0"/>
                <w:smallCaps w:val="0"/>
                <w:color w:val="auto"/>
                <w:spacing w:val="0"/>
                <w:sz w:val="32"/>
                <w:szCs w:val="32"/>
                <w:shd w:val="clear" w:color="auto" w:fill="FFFFFF"/>
              </w:rPr>
              <w:t>设立举报人奖励制度</w:t>
            </w:r>
            <w:r>
              <w:rPr>
                <w:rFonts w:ascii="仿宋_GB2312" w:eastAsia="仿宋_GB2312"/>
                <w:b w:val="0"/>
                <w:bCs w:val="0"/>
                <w:i w:val="0"/>
                <w:iCs w:val="0"/>
                <w:caps w:val="0"/>
                <w:smallCaps w:val="0"/>
                <w:color w:val="auto"/>
                <w:spacing w:val="0"/>
                <w:sz w:val="32"/>
                <w:szCs w:val="32"/>
                <w:shd w:val="clear" w:color="auto" w:fill="FFFFFF"/>
              </w:rPr>
              <w:t>，</w:t>
            </w:r>
            <w:r>
              <w:rPr>
                <w:rFonts w:hint="eastAsia" w:ascii="仿宋_GB2312" w:eastAsia="仿宋_GB2312"/>
                <w:b w:val="0"/>
                <w:bCs w:val="0"/>
                <w:i w:val="0"/>
                <w:iCs w:val="0"/>
                <w:caps w:val="0"/>
                <w:smallCaps w:val="0"/>
                <w:color w:val="auto"/>
                <w:spacing w:val="0"/>
                <w:sz w:val="32"/>
                <w:szCs w:val="32"/>
                <w:shd w:val="clear" w:color="auto" w:fill="FFFFFF"/>
              </w:rPr>
              <w:t>严格保护举报人、投诉者个人隐私信息</w:t>
            </w:r>
            <w:r>
              <w:rPr>
                <w:rFonts w:ascii="仿宋_GB2312" w:eastAsia="仿宋_GB2312"/>
                <w:b w:val="0"/>
                <w:bCs w:val="0"/>
                <w:i w:val="0"/>
                <w:iCs w:val="0"/>
                <w:caps w:val="0"/>
                <w:smallCaps w:val="0"/>
                <w:color w:val="auto"/>
                <w:spacing w:val="0"/>
                <w:sz w:val="32"/>
                <w:szCs w:val="32"/>
                <w:shd w:val="clear" w:color="auto" w:fill="FFFFFF"/>
              </w:rPr>
              <w:t>”。</w:t>
            </w:r>
          </w:p>
        </w:tc>
        <w:tc>
          <w:tcPr>
            <w:tcW w:w="1559" w:type="dxa"/>
            <w:vAlign w:val="center"/>
          </w:tcPr>
          <w:p>
            <w:pPr>
              <w:spacing w:line="600" w:lineRule="exact"/>
              <w:jc w:val="center"/>
              <w:rPr>
                <w:rFonts w:hint="eastAsia" w:ascii="楷体_GB2312" w:hAnsi="Calibri" w:eastAsia="楷体_GB2312" w:cs="Times New Roman"/>
                <w:b/>
                <w:bCs/>
                <w:color w:val="auto"/>
                <w:kern w:val="2"/>
                <w:sz w:val="32"/>
                <w:szCs w:val="32"/>
                <w:lang w:val="en-US" w:eastAsia="zh-CN" w:bidi="ar-SA"/>
              </w:rPr>
            </w:pPr>
            <w:r>
              <w:rPr>
                <w:rFonts w:hint="eastAsia" w:ascii="仿宋_GB2312" w:eastAsia="仿宋_GB2312"/>
                <w:sz w:val="32"/>
                <w:szCs w:val="32"/>
                <w:lang w:eastAsia="zh-CN"/>
              </w:rPr>
              <w:t>省人大财经委</w:t>
            </w:r>
          </w:p>
        </w:tc>
        <w:tc>
          <w:tcPr>
            <w:tcW w:w="3860" w:type="dxa"/>
            <w:vAlign w:val="center"/>
          </w:tcPr>
          <w:p>
            <w:pPr>
              <w:spacing w:line="600" w:lineRule="exact"/>
              <w:jc w:val="left"/>
              <w:rPr>
                <w:rFonts w:hint="eastAsia" w:ascii="楷体_GB2312" w:hAnsi="Calibri" w:eastAsia="楷体_GB2312" w:cs="Times New Roman"/>
                <w:b/>
                <w:bCs/>
                <w:color w:val="auto"/>
                <w:kern w:val="2"/>
                <w:sz w:val="32"/>
                <w:szCs w:val="32"/>
                <w:lang w:val="en-US" w:eastAsia="zh-CN" w:bidi="ar-SA"/>
              </w:rPr>
            </w:pPr>
            <w:r>
              <w:rPr>
                <w:rFonts w:hint="eastAsia" w:ascii="仿宋_GB2312" w:hAnsi="仿宋_GB2312" w:eastAsia="仿宋_GB2312" w:cs="仿宋_GB2312"/>
                <w:bCs/>
                <w:kern w:val="0"/>
                <w:sz w:val="32"/>
                <w:szCs w:val="32"/>
                <w:lang w:eastAsia="zh-CN"/>
              </w:rPr>
              <w:t>部分采纳。已在</w:t>
            </w:r>
            <w:r>
              <w:rPr>
                <w:rFonts w:ascii="仿宋_GB2312" w:eastAsia="仿宋_GB2312"/>
                <w:b w:val="0"/>
                <w:bCs w:val="0"/>
                <w:i w:val="0"/>
                <w:iCs w:val="0"/>
                <w:caps w:val="0"/>
                <w:smallCaps w:val="0"/>
                <w:color w:val="auto"/>
                <w:spacing w:val="0"/>
                <w:sz w:val="32"/>
                <w:szCs w:val="32"/>
                <w:shd w:val="clear" w:color="auto" w:fill="FFFFFF"/>
              </w:rPr>
              <w:t>“（五）加强行业日常监管”一段</w:t>
            </w:r>
            <w:r>
              <w:rPr>
                <w:rFonts w:hint="eastAsia" w:ascii="仿宋_GB2312" w:eastAsia="仿宋_GB2312"/>
                <w:b w:val="0"/>
                <w:bCs w:val="0"/>
                <w:i w:val="0"/>
                <w:iCs w:val="0"/>
                <w:caps w:val="0"/>
                <w:smallCaps w:val="0"/>
                <w:color w:val="auto"/>
                <w:spacing w:val="0"/>
                <w:sz w:val="32"/>
                <w:szCs w:val="32"/>
                <w:shd w:val="clear" w:color="auto" w:fill="FFFFFF"/>
                <w:lang w:eastAsia="zh-CN"/>
              </w:rPr>
              <w:t>中的</w:t>
            </w:r>
            <w:r>
              <w:rPr>
                <w:rFonts w:ascii="仿宋_GB2312" w:eastAsia="仿宋_GB2312"/>
                <w:b w:val="0"/>
                <w:bCs w:val="0"/>
                <w:i w:val="0"/>
                <w:iCs w:val="0"/>
                <w:caps w:val="0"/>
                <w:smallCaps w:val="0"/>
                <w:color w:val="auto"/>
                <w:spacing w:val="0"/>
                <w:sz w:val="32"/>
                <w:szCs w:val="32"/>
                <w:shd w:val="clear" w:color="auto" w:fill="FFFFFF"/>
              </w:rPr>
              <w:t>倒数第三行“畅通投诉举报渠道”后</w:t>
            </w:r>
            <w:r>
              <w:rPr>
                <w:rFonts w:hint="eastAsia" w:ascii="仿宋_GB2312" w:eastAsia="仿宋_GB2312"/>
                <w:b w:val="0"/>
                <w:bCs w:val="0"/>
                <w:i w:val="0"/>
                <w:iCs w:val="0"/>
                <w:caps w:val="0"/>
                <w:smallCaps w:val="0"/>
                <w:color w:val="auto"/>
                <w:spacing w:val="0"/>
                <w:sz w:val="32"/>
                <w:szCs w:val="32"/>
                <w:shd w:val="clear" w:color="auto" w:fill="FFFFFF"/>
              </w:rPr>
              <w:t>增加</w:t>
            </w:r>
            <w:r>
              <w:rPr>
                <w:rFonts w:hint="eastAsia" w:ascii="仿宋_GB2312" w:eastAsia="仿宋_GB2312"/>
                <w:b w:val="0"/>
                <w:bCs w:val="0"/>
                <w:i w:val="0"/>
                <w:iCs w:val="0"/>
                <w:caps w:val="0"/>
                <w:smallCaps w:val="0"/>
                <w:color w:val="auto"/>
                <w:spacing w:val="0"/>
                <w:sz w:val="32"/>
                <w:szCs w:val="32"/>
                <w:shd w:val="clear" w:color="auto" w:fill="FFFFFF"/>
                <w:lang w:eastAsia="zh-CN"/>
              </w:rPr>
              <w:t>“</w:t>
            </w:r>
            <w:r>
              <w:rPr>
                <w:rFonts w:hint="eastAsia" w:ascii="仿宋_GB2312" w:eastAsia="仿宋_GB2312"/>
                <w:b w:val="0"/>
                <w:bCs w:val="0"/>
                <w:i w:val="0"/>
                <w:iCs w:val="0"/>
                <w:caps w:val="0"/>
                <w:smallCaps w:val="0"/>
                <w:color w:val="auto"/>
                <w:spacing w:val="0"/>
                <w:sz w:val="32"/>
                <w:szCs w:val="32"/>
                <w:shd w:val="clear" w:color="auto" w:fill="FFFFFF"/>
              </w:rPr>
              <w:t>严格保护举报人、投诉者个人隐私信息</w:t>
            </w:r>
            <w:r>
              <w:rPr>
                <w:rFonts w:ascii="仿宋_GB2312" w:eastAsia="仿宋_GB2312"/>
                <w:b w:val="0"/>
                <w:bCs w:val="0"/>
                <w:i w:val="0"/>
                <w:iCs w:val="0"/>
                <w:caps w:val="0"/>
                <w:smallCaps w:val="0"/>
                <w:color w:val="auto"/>
                <w:spacing w:val="0"/>
                <w:sz w:val="32"/>
                <w:szCs w:val="32"/>
                <w:shd w:val="clear" w:color="auto" w:fill="FFFFFF"/>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82" w:hRule="atLeast"/>
        </w:trPr>
        <w:tc>
          <w:tcPr>
            <w:tcW w:w="817"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center"/>
              <w:rPr>
                <w:rFonts w:hint="default" w:ascii="楷体_GB2312" w:eastAsia="楷体_GB2312"/>
                <w:b/>
                <w:bCs/>
                <w:sz w:val="32"/>
                <w:szCs w:val="32"/>
                <w:lang w:val="en-US" w:eastAsia="zh-CN"/>
              </w:rPr>
            </w:pPr>
            <w:r>
              <w:rPr>
                <w:rFonts w:hint="eastAsia" w:ascii="仿宋_GB2312" w:hAnsi="仿宋_GB2312" w:eastAsia="仿宋_GB2312" w:cs="仿宋_GB2312"/>
                <w:color w:val="auto"/>
                <w:sz w:val="32"/>
                <w:szCs w:val="32"/>
                <w:lang w:val="en-US" w:eastAsia="zh-CN"/>
              </w:rPr>
              <w:t>4</w:t>
            </w:r>
          </w:p>
        </w:tc>
        <w:tc>
          <w:tcPr>
            <w:tcW w:w="7938" w:type="dxa"/>
            <w:vAlign w:val="center"/>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Calibri" w:eastAsia="仿宋_GB2312" w:cs="Times New Roman"/>
                <w:b w:val="0"/>
                <w:bCs w:val="0"/>
                <w:i w:val="0"/>
                <w:iCs w:val="0"/>
                <w:caps w:val="0"/>
                <w:smallCaps w:val="0"/>
                <w:color w:val="auto"/>
                <w:spacing w:val="0"/>
                <w:kern w:val="2"/>
                <w:sz w:val="32"/>
                <w:szCs w:val="32"/>
                <w:shd w:val="clear" w:color="auto" w:fill="FFFFFF"/>
                <w:lang w:val="en-US" w:eastAsia="zh-CN" w:bidi="ar-SA"/>
              </w:rPr>
            </w:pPr>
            <w:r>
              <w:rPr>
                <w:rFonts w:hint="eastAsia" w:ascii="仿宋_GB2312" w:eastAsia="仿宋_GB2312"/>
                <w:b w:val="0"/>
                <w:bCs w:val="0"/>
                <w:i w:val="0"/>
                <w:iCs w:val="0"/>
                <w:caps w:val="0"/>
                <w:smallCaps w:val="0"/>
                <w:color w:val="auto"/>
                <w:spacing w:val="0"/>
                <w:sz w:val="32"/>
                <w:szCs w:val="32"/>
                <w:shd w:val="clear" w:color="auto" w:fill="FFFFFF"/>
                <w:lang w:val="en-US" w:eastAsia="zh-CN"/>
              </w:rPr>
              <w:t>建议根据《浙江省规范性文件管理办法》第二十条规定，载明具体施行日期等内容。</w:t>
            </w:r>
          </w:p>
        </w:tc>
        <w:tc>
          <w:tcPr>
            <w:tcW w:w="1559"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Calibri" w:eastAsia="仿宋_GB2312" w:cs="Times New Roman"/>
                <w:color w:val="auto"/>
                <w:kern w:val="2"/>
                <w:sz w:val="32"/>
                <w:szCs w:val="32"/>
                <w:lang w:val="en-US" w:eastAsia="zh-CN" w:bidi="ar-SA"/>
              </w:rPr>
            </w:pPr>
            <w:r>
              <w:rPr>
                <w:rFonts w:hint="eastAsia" w:ascii="仿宋_GB2312" w:eastAsia="仿宋_GB2312"/>
                <w:sz w:val="32"/>
                <w:szCs w:val="32"/>
                <w:lang w:eastAsia="zh-CN"/>
              </w:rPr>
              <w:t>省发改委</w:t>
            </w:r>
          </w:p>
        </w:tc>
        <w:tc>
          <w:tcPr>
            <w:tcW w:w="3860" w:type="dxa"/>
            <w:vAlign w:val="center"/>
          </w:tcPr>
          <w:p>
            <w:pPr>
              <w:pStyle w:val="2"/>
              <w:numPr>
                <w:ilvl w:val="0"/>
                <w:numId w:val="0"/>
              </w:numPr>
              <w:spacing w:line="600" w:lineRule="exact"/>
              <w:jc w:val="both"/>
              <w:rPr>
                <w:rFonts w:hint="eastAsia"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b w:val="0"/>
                <w:bCs w:val="0"/>
                <w:sz w:val="32"/>
                <w:szCs w:val="32"/>
                <w:lang w:eastAsia="zh-CN"/>
              </w:rPr>
              <w:t>采纳。已在正文中添加“</w:t>
            </w:r>
            <w:r>
              <w:rPr>
                <w:rFonts w:hint="eastAsia" w:ascii="仿宋_GB2312" w:hAnsi="仿宋_GB2312" w:eastAsia="仿宋_GB2312" w:cs="仿宋_GB2312"/>
                <w:sz w:val="32"/>
                <w:szCs w:val="32"/>
                <w:lang w:eastAsia="zh-CN"/>
              </w:rPr>
              <w:t>本实施意见自</w:t>
            </w:r>
            <w:r>
              <w:rPr>
                <w:rFonts w:hint="eastAsia" w:ascii="仿宋_GB2312" w:hAnsi="仿宋_GB2312" w:eastAsia="仿宋_GB2312" w:cs="仿宋_GB2312"/>
                <w:sz w:val="32"/>
                <w:szCs w:val="32"/>
                <w:lang w:val="en-US" w:eastAsia="zh-CN"/>
              </w:rPr>
              <w:t>2022年5月日起施行</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sz w:val="32"/>
                <w:szCs w:val="32"/>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4" w:hRule="atLeast"/>
        </w:trPr>
        <w:tc>
          <w:tcPr>
            <w:tcW w:w="817" w:type="dxa"/>
            <w:vAlign w:val="center"/>
          </w:tcPr>
          <w:p>
            <w:pPr>
              <w:spacing w:line="600" w:lineRule="exact"/>
              <w:jc w:val="center"/>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5</w:t>
            </w:r>
          </w:p>
        </w:tc>
        <w:tc>
          <w:tcPr>
            <w:tcW w:w="7938" w:type="dxa"/>
            <w:vAlign w:val="center"/>
          </w:tcPr>
          <w:p>
            <w:pPr>
              <w:spacing w:line="600" w:lineRule="exact"/>
              <w:rPr>
                <w:rFonts w:hint="eastAsia" w:ascii="仿宋_GB2312" w:hAnsi="Calibri" w:eastAsia="仿宋_GB2312" w:cs="Times New Roman"/>
                <w:color w:val="auto"/>
                <w:kern w:val="2"/>
                <w:sz w:val="32"/>
                <w:szCs w:val="32"/>
                <w:lang w:val="en-US" w:eastAsia="zh-CN" w:bidi="ar-SA"/>
              </w:rPr>
            </w:pPr>
            <w:r>
              <w:rPr>
                <w:rFonts w:hint="eastAsia" w:ascii="仿宋_GB2312" w:eastAsia="仿宋_GB2312"/>
                <w:sz w:val="32"/>
                <w:szCs w:val="32"/>
              </w:rPr>
              <w:t>二（一）</w:t>
            </w:r>
            <w:r>
              <w:rPr>
                <w:rFonts w:ascii="仿宋_GB2312" w:hAnsi="仿宋_GB2312" w:eastAsia="仿宋_GB2312" w:cs="仿宋_GB2312"/>
                <w:color w:val="000000"/>
                <w:kern w:val="0"/>
                <w:sz w:val="32"/>
              </w:rPr>
              <w:t>……</w:t>
            </w:r>
            <w:r>
              <w:rPr>
                <w:rFonts w:hint="eastAsia" w:ascii="仿宋_GB2312" w:hAnsi="仿宋_GB2312" w:eastAsia="仿宋_GB2312" w:cs="仿宋_GB2312"/>
                <w:sz w:val="32"/>
                <w:szCs w:val="32"/>
              </w:rPr>
              <w:t>实现单一渠道报送和监管部门信息共享。建议修改为：推进单一渠道报送和监管部门信息共享。因该项工作目前在初步开展阶段，诸多法律、政策层面的要求尚不清晰，建议对实现目标仅做原则性表述。</w:t>
            </w:r>
          </w:p>
        </w:tc>
        <w:tc>
          <w:tcPr>
            <w:tcW w:w="1559" w:type="dxa"/>
            <w:vAlign w:val="center"/>
          </w:tcPr>
          <w:p>
            <w:pPr>
              <w:spacing w:line="600" w:lineRule="exact"/>
              <w:jc w:val="center"/>
              <w:rPr>
                <w:rFonts w:hint="eastAsia" w:ascii="仿宋_GB2312" w:hAnsi="Calibri" w:eastAsia="仿宋_GB2312" w:cs="Times New Roman"/>
                <w:color w:val="auto"/>
                <w:kern w:val="2"/>
                <w:sz w:val="32"/>
                <w:szCs w:val="32"/>
                <w:lang w:val="en-US" w:eastAsia="zh-CN" w:bidi="ar-SA"/>
              </w:rPr>
            </w:pPr>
            <w:r>
              <w:rPr>
                <w:rFonts w:hint="eastAsia" w:ascii="仿宋_GB2312" w:eastAsia="仿宋_GB2312"/>
                <w:sz w:val="32"/>
                <w:szCs w:val="32"/>
              </w:rPr>
              <w:t>人行杭州中心支行</w:t>
            </w:r>
          </w:p>
        </w:tc>
        <w:tc>
          <w:tcPr>
            <w:tcW w:w="3860" w:type="dxa"/>
            <w:vAlign w:val="center"/>
          </w:tcPr>
          <w:p>
            <w:pPr>
              <w:spacing w:line="600" w:lineRule="exact"/>
              <w:jc w:val="left"/>
              <w:rPr>
                <w:rFonts w:hint="eastAsia" w:ascii="仿宋_GB2312" w:hAnsi="Calibri" w:eastAsia="仿宋_GB2312" w:cs="Times New Roman"/>
                <w:color w:val="auto"/>
                <w:kern w:val="2"/>
                <w:sz w:val="32"/>
                <w:szCs w:val="32"/>
                <w:lang w:val="en-US" w:eastAsia="zh-CN" w:bidi="ar-SA"/>
              </w:rPr>
            </w:pPr>
            <w:r>
              <w:rPr>
                <w:rFonts w:hint="eastAsia" w:ascii="仿宋_GB2312" w:eastAsia="仿宋_GB2312"/>
                <w:sz w:val="32"/>
                <w:szCs w:val="32"/>
              </w:rPr>
              <w:t>采纳。</w:t>
            </w:r>
            <w:r>
              <w:rPr>
                <w:rFonts w:hint="eastAsia" w:ascii="仿宋_GB2312" w:eastAsia="仿宋_GB2312"/>
                <w:sz w:val="32"/>
                <w:szCs w:val="32"/>
                <w:lang w:eastAsia="zh-CN"/>
              </w:rPr>
              <w:t>结合财政部等八部门《关于联合开展电子凭证会计数据标准试点工作的通知》（财会</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2022</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6号</w:t>
            </w:r>
            <w:r>
              <w:rPr>
                <w:rFonts w:hint="eastAsia" w:ascii="仿宋_GB2312" w:eastAsia="仿宋_GB2312"/>
                <w:sz w:val="32"/>
                <w:szCs w:val="32"/>
                <w:lang w:eastAsia="zh-CN"/>
              </w:rPr>
              <w:t>）对有关表述进行修改。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Align w:val="center"/>
          </w:tcPr>
          <w:p>
            <w:pPr>
              <w:spacing w:line="600" w:lineRule="exact"/>
              <w:jc w:val="center"/>
              <w:rPr>
                <w:rFonts w:hint="default" w:ascii="仿宋_GB2312" w:eastAsia="仿宋_GB2312"/>
                <w:sz w:val="32"/>
                <w:szCs w:val="32"/>
                <w:lang w:val="en-US" w:eastAsia="zh-CN"/>
              </w:rPr>
            </w:pPr>
            <w:r>
              <w:rPr>
                <w:rFonts w:hint="eastAsia" w:ascii="仿宋_GB2312" w:eastAsia="仿宋_GB2312"/>
                <w:sz w:val="32"/>
                <w:szCs w:val="32"/>
                <w:lang w:val="en-US" w:eastAsia="zh-CN"/>
              </w:rPr>
              <w:t>6</w:t>
            </w:r>
          </w:p>
        </w:tc>
        <w:tc>
          <w:tcPr>
            <w:tcW w:w="7938" w:type="dxa"/>
            <w:vAlign w:val="center"/>
          </w:tcPr>
          <w:p>
            <w:pPr>
              <w:spacing w:line="600" w:lineRule="exact"/>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sz w:val="32"/>
                <w:szCs w:val="32"/>
              </w:rPr>
              <w:t>支持会计师事务所自主品牌建设方面。针对我省知名的、精专的中小型会计师事务所较少的现状，建议出台扶持中小型会计师事务所发展壮大的政策。</w:t>
            </w:r>
          </w:p>
        </w:tc>
        <w:tc>
          <w:tcPr>
            <w:tcW w:w="1559" w:type="dxa"/>
            <w:vAlign w:val="center"/>
          </w:tcPr>
          <w:p>
            <w:pPr>
              <w:spacing w:line="600" w:lineRule="exact"/>
              <w:jc w:val="center"/>
              <w:rPr>
                <w:rFonts w:ascii="仿宋_GB2312" w:eastAsia="仿宋_GB2312"/>
                <w:sz w:val="32"/>
                <w:szCs w:val="32"/>
              </w:rPr>
            </w:pPr>
            <w:r>
              <w:rPr>
                <w:rFonts w:hint="eastAsia" w:ascii="仿宋_GB2312" w:eastAsia="仿宋_GB2312"/>
                <w:sz w:val="32"/>
                <w:szCs w:val="32"/>
              </w:rPr>
              <w:t>杭州市</w:t>
            </w:r>
          </w:p>
          <w:p>
            <w:pPr>
              <w:spacing w:line="600" w:lineRule="exact"/>
              <w:jc w:val="center"/>
              <w:rPr>
                <w:rFonts w:hint="eastAsia" w:ascii="仿宋_GB2312" w:hAnsi="Calibri" w:eastAsia="仿宋_GB2312" w:cs="Times New Roman"/>
                <w:color w:val="auto"/>
                <w:kern w:val="2"/>
                <w:sz w:val="32"/>
                <w:szCs w:val="32"/>
                <w:lang w:val="en-US" w:eastAsia="zh-CN" w:bidi="ar-SA"/>
              </w:rPr>
            </w:pPr>
            <w:r>
              <w:rPr>
                <w:rFonts w:hint="eastAsia" w:ascii="仿宋_GB2312" w:eastAsia="仿宋_GB2312"/>
                <w:sz w:val="32"/>
                <w:szCs w:val="32"/>
              </w:rPr>
              <w:t>财政局</w:t>
            </w:r>
          </w:p>
        </w:tc>
        <w:tc>
          <w:tcPr>
            <w:tcW w:w="3860" w:type="dxa"/>
            <w:vAlign w:val="center"/>
          </w:tcPr>
          <w:p>
            <w:pPr>
              <w:keepNext w:val="0"/>
              <w:keepLines w:val="0"/>
              <w:widowControl/>
              <w:suppressLineNumbers w:val="0"/>
              <w:jc w:val="left"/>
              <w:rPr>
                <w:rFonts w:hint="eastAsia" w:ascii="仿宋_GB2312" w:hAnsi="Calibri" w:eastAsia="仿宋_GB2312" w:cs="Times New Roman"/>
                <w:color w:val="auto"/>
                <w:kern w:val="2"/>
                <w:sz w:val="32"/>
                <w:szCs w:val="32"/>
                <w:lang w:val="en-US" w:eastAsia="zh-CN" w:bidi="ar-SA"/>
              </w:rPr>
            </w:pPr>
            <w:r>
              <w:rPr>
                <w:rFonts w:ascii="仿宋_GB2312" w:eastAsia="仿宋_GB2312"/>
                <w:sz w:val="32"/>
                <w:szCs w:val="32"/>
                <w:lang w:val="en-US" w:eastAsia="zh-CN"/>
              </w:rPr>
              <w:t>采纳。已在四（十二）作具体表述，引导事务所做精做专、错位发展。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95" w:hRule="atLeast"/>
        </w:trPr>
        <w:tc>
          <w:tcPr>
            <w:tcW w:w="817" w:type="dxa"/>
            <w:vAlign w:val="center"/>
          </w:tcPr>
          <w:p>
            <w:pPr>
              <w:spacing w:line="600" w:lineRule="exact"/>
              <w:jc w:val="center"/>
              <w:rPr>
                <w:rFonts w:hint="default" w:ascii="仿宋_GB2312" w:eastAsia="仿宋_GB2312"/>
                <w:sz w:val="32"/>
                <w:szCs w:val="32"/>
                <w:lang w:val="en-US" w:eastAsia="zh-CN"/>
              </w:rPr>
            </w:pPr>
            <w:r>
              <w:rPr>
                <w:rFonts w:hint="eastAsia" w:ascii="仿宋_GB2312" w:eastAsia="仿宋_GB2312"/>
                <w:sz w:val="32"/>
                <w:szCs w:val="32"/>
                <w:lang w:val="en-US" w:eastAsia="zh-CN"/>
              </w:rPr>
              <w:t>7</w:t>
            </w:r>
          </w:p>
        </w:tc>
        <w:tc>
          <w:tcPr>
            <w:tcW w:w="7938" w:type="dxa"/>
            <w:vAlign w:val="center"/>
          </w:tcPr>
          <w:p>
            <w:pPr>
              <w:spacing w:line="600" w:lineRule="exact"/>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sz w:val="32"/>
                <w:szCs w:val="32"/>
              </w:rPr>
              <w:t>引导会计师事务所强化内部管理方面。建议增加一条：推动会计师事务所审计作业系统的信息化建设。事务所信息化水平跟不上行业发展，跟不上市场经济对注册会计师增信服务的质量和效率要求，鼓励事务所加快信息化建设，在资金方面给予一定支持。</w:t>
            </w:r>
          </w:p>
        </w:tc>
        <w:tc>
          <w:tcPr>
            <w:tcW w:w="1559" w:type="dxa"/>
            <w:vAlign w:val="center"/>
          </w:tcPr>
          <w:p>
            <w:pPr>
              <w:spacing w:line="600" w:lineRule="exact"/>
              <w:jc w:val="center"/>
              <w:rPr>
                <w:rFonts w:ascii="仿宋_GB2312" w:eastAsia="仿宋_GB2312"/>
                <w:sz w:val="32"/>
                <w:szCs w:val="32"/>
              </w:rPr>
            </w:pPr>
            <w:r>
              <w:rPr>
                <w:rFonts w:hint="eastAsia" w:ascii="仿宋_GB2312" w:eastAsia="仿宋_GB2312"/>
                <w:sz w:val="32"/>
                <w:szCs w:val="32"/>
              </w:rPr>
              <w:t>杭州市</w:t>
            </w:r>
          </w:p>
          <w:p>
            <w:pPr>
              <w:spacing w:line="600" w:lineRule="exact"/>
              <w:jc w:val="center"/>
              <w:rPr>
                <w:rFonts w:hint="eastAsia" w:ascii="仿宋_GB2312" w:hAnsi="Calibri" w:eastAsia="仿宋_GB2312" w:cs="Times New Roman"/>
                <w:color w:val="auto"/>
                <w:kern w:val="2"/>
                <w:sz w:val="32"/>
                <w:szCs w:val="32"/>
                <w:lang w:val="en-US" w:eastAsia="zh-CN" w:bidi="ar-SA"/>
              </w:rPr>
            </w:pPr>
            <w:r>
              <w:rPr>
                <w:rFonts w:hint="eastAsia" w:ascii="仿宋_GB2312" w:eastAsia="仿宋_GB2312"/>
                <w:sz w:val="32"/>
                <w:szCs w:val="32"/>
              </w:rPr>
              <w:t>财政局</w:t>
            </w:r>
          </w:p>
        </w:tc>
        <w:tc>
          <w:tcPr>
            <w:tcW w:w="3860" w:type="dxa"/>
            <w:vAlign w:val="center"/>
          </w:tcPr>
          <w:p>
            <w:pPr>
              <w:spacing w:line="600" w:lineRule="exact"/>
              <w:rPr>
                <w:rFonts w:hint="eastAsia" w:ascii="仿宋_GB2312" w:hAnsi="Calibri" w:eastAsia="仿宋_GB2312" w:cs="Times New Roman"/>
                <w:color w:val="auto"/>
                <w:kern w:val="2"/>
                <w:sz w:val="32"/>
                <w:szCs w:val="32"/>
                <w:lang w:val="en-US" w:eastAsia="zh-CN" w:bidi="ar-SA"/>
              </w:rPr>
            </w:pPr>
            <w:r>
              <w:rPr>
                <w:rFonts w:hint="eastAsia" w:ascii="仿宋_GB2312" w:eastAsia="仿宋_GB2312"/>
                <w:sz w:val="32"/>
                <w:szCs w:val="32"/>
              </w:rPr>
              <w:t>部分采纳。1.鼓励事务所加快信息化建设已</w:t>
            </w:r>
            <w:r>
              <w:rPr>
                <w:rFonts w:hint="eastAsia" w:ascii="仿宋_GB2312" w:eastAsia="仿宋_GB2312"/>
                <w:sz w:val="32"/>
                <w:szCs w:val="32"/>
                <w:lang w:eastAsia="zh-CN"/>
              </w:rPr>
              <w:t>在二（一）中</w:t>
            </w:r>
            <w:r>
              <w:rPr>
                <w:rFonts w:hint="eastAsia" w:ascii="仿宋_GB2312" w:eastAsia="仿宋_GB2312"/>
                <w:sz w:val="32"/>
                <w:szCs w:val="32"/>
              </w:rPr>
              <w:t>有表述；2.在资金方面给予一定支持未采纳。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70" w:hRule="atLeast"/>
        </w:trPr>
        <w:tc>
          <w:tcPr>
            <w:tcW w:w="817" w:type="dxa"/>
            <w:vAlign w:val="center"/>
          </w:tcPr>
          <w:p>
            <w:pPr>
              <w:spacing w:line="600" w:lineRule="exact"/>
              <w:jc w:val="center"/>
              <w:rPr>
                <w:rFonts w:hint="default" w:ascii="仿宋_GB2312" w:eastAsia="仿宋_GB2312"/>
                <w:sz w:val="32"/>
                <w:szCs w:val="32"/>
                <w:lang w:val="en-US" w:eastAsia="zh-CN"/>
              </w:rPr>
            </w:pPr>
            <w:r>
              <w:rPr>
                <w:rFonts w:hint="eastAsia" w:ascii="仿宋_GB2312" w:eastAsia="仿宋_GB2312"/>
                <w:sz w:val="32"/>
                <w:szCs w:val="32"/>
                <w:lang w:val="en-US" w:eastAsia="zh-CN"/>
              </w:rPr>
              <w:t>8</w:t>
            </w:r>
          </w:p>
        </w:tc>
        <w:tc>
          <w:tcPr>
            <w:tcW w:w="7938" w:type="dxa"/>
            <w:vAlign w:val="center"/>
          </w:tcPr>
          <w:p>
            <w:pPr>
              <w:spacing w:line="600" w:lineRule="exact"/>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sz w:val="32"/>
                <w:szCs w:val="32"/>
              </w:rPr>
              <w:t>建议加强线上与线下培训，丰富培训班内容，提高注册会计师的专业水平。</w:t>
            </w:r>
          </w:p>
        </w:tc>
        <w:tc>
          <w:tcPr>
            <w:tcW w:w="1559" w:type="dxa"/>
            <w:vAlign w:val="center"/>
          </w:tcPr>
          <w:p>
            <w:pPr>
              <w:spacing w:line="600" w:lineRule="exact"/>
              <w:jc w:val="center"/>
              <w:rPr>
                <w:rFonts w:ascii="仿宋_GB2312" w:eastAsia="仿宋_GB2312"/>
                <w:sz w:val="32"/>
                <w:szCs w:val="32"/>
              </w:rPr>
            </w:pPr>
            <w:r>
              <w:rPr>
                <w:rFonts w:hint="eastAsia" w:ascii="仿宋_GB2312" w:eastAsia="仿宋_GB2312"/>
                <w:sz w:val="32"/>
                <w:szCs w:val="32"/>
              </w:rPr>
              <w:t>金华市</w:t>
            </w:r>
          </w:p>
          <w:p>
            <w:pPr>
              <w:spacing w:line="600" w:lineRule="exact"/>
              <w:jc w:val="center"/>
              <w:rPr>
                <w:rFonts w:hint="eastAsia" w:ascii="仿宋_GB2312" w:hAnsi="Calibri" w:eastAsia="仿宋_GB2312" w:cs="Times New Roman"/>
                <w:color w:val="auto"/>
                <w:kern w:val="2"/>
                <w:sz w:val="32"/>
                <w:szCs w:val="32"/>
                <w:lang w:val="en-US" w:eastAsia="zh-CN" w:bidi="ar-SA"/>
              </w:rPr>
            </w:pPr>
            <w:r>
              <w:rPr>
                <w:rFonts w:hint="eastAsia" w:ascii="仿宋_GB2312" w:eastAsia="仿宋_GB2312"/>
                <w:sz w:val="32"/>
                <w:szCs w:val="32"/>
              </w:rPr>
              <w:t>财政局</w:t>
            </w:r>
          </w:p>
        </w:tc>
        <w:tc>
          <w:tcPr>
            <w:tcW w:w="3860" w:type="dxa"/>
            <w:vAlign w:val="center"/>
          </w:tcPr>
          <w:p>
            <w:pPr>
              <w:keepNext w:val="0"/>
              <w:keepLines w:val="0"/>
              <w:widowControl/>
              <w:suppressLineNumbers w:val="0"/>
              <w:jc w:val="left"/>
              <w:rPr>
                <w:rFonts w:hint="eastAsia" w:ascii="仿宋_GB2312" w:hAnsi="Calibri" w:eastAsia="仿宋_GB2312" w:cs="Times New Roman"/>
                <w:color w:val="auto"/>
                <w:kern w:val="2"/>
                <w:sz w:val="32"/>
                <w:szCs w:val="32"/>
                <w:lang w:val="en-US" w:eastAsia="zh-CN" w:bidi="ar-SA"/>
              </w:rPr>
            </w:pPr>
            <w:r>
              <w:rPr>
                <w:rFonts w:hint="eastAsia" w:ascii="仿宋_GB2312" w:eastAsia="仿宋_GB2312"/>
                <w:sz w:val="32"/>
                <w:szCs w:val="32"/>
                <w:lang w:val="en-US" w:eastAsia="zh-CN"/>
              </w:rPr>
              <w:t>采纳。建议内容已在五（十四）中作具体表述。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84" w:hRule="atLeast"/>
        </w:trPr>
        <w:tc>
          <w:tcPr>
            <w:tcW w:w="817" w:type="dxa"/>
            <w:vAlign w:val="center"/>
          </w:tcPr>
          <w:p>
            <w:pPr>
              <w:spacing w:line="600" w:lineRule="exact"/>
              <w:jc w:val="center"/>
              <w:rPr>
                <w:rFonts w:hint="default" w:ascii="仿宋_GB2312" w:eastAsia="仿宋_GB2312"/>
                <w:sz w:val="32"/>
                <w:szCs w:val="32"/>
                <w:lang w:val="en-US" w:eastAsia="zh-CN"/>
              </w:rPr>
            </w:pPr>
            <w:r>
              <w:rPr>
                <w:rFonts w:hint="eastAsia" w:ascii="仿宋_GB2312" w:eastAsia="仿宋_GB2312"/>
                <w:sz w:val="32"/>
                <w:szCs w:val="32"/>
                <w:lang w:val="en-US" w:eastAsia="zh-CN"/>
              </w:rPr>
              <w:t>9</w:t>
            </w:r>
          </w:p>
        </w:tc>
        <w:tc>
          <w:tcPr>
            <w:tcW w:w="7938" w:type="dxa"/>
            <w:vAlign w:val="center"/>
          </w:tcPr>
          <w:p>
            <w:pPr>
              <w:spacing w:line="600" w:lineRule="exact"/>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sz w:val="32"/>
                <w:szCs w:val="32"/>
              </w:rPr>
              <w:t>会计师事务所服务对象多类型，除上市企业外，还有非上市企业、非企业单位；审计对象除整体财务报告外、还包括其他各类单项审计，因此建议对会计师事务所的监管和引导上，能够有所区别，不搞一刀切。</w:t>
            </w:r>
          </w:p>
        </w:tc>
        <w:tc>
          <w:tcPr>
            <w:tcW w:w="1559" w:type="dxa"/>
            <w:vAlign w:val="center"/>
          </w:tcPr>
          <w:p>
            <w:pPr>
              <w:spacing w:line="600" w:lineRule="exact"/>
              <w:jc w:val="both"/>
              <w:rPr>
                <w:rFonts w:hint="eastAsia" w:ascii="仿宋_GB2312" w:eastAsia="仿宋_GB2312"/>
                <w:sz w:val="32"/>
                <w:szCs w:val="32"/>
              </w:rPr>
            </w:pPr>
          </w:p>
          <w:p>
            <w:pPr>
              <w:spacing w:line="600" w:lineRule="exact"/>
              <w:jc w:val="center"/>
              <w:rPr>
                <w:rFonts w:ascii="仿宋_GB2312" w:eastAsia="仿宋_GB2312"/>
                <w:sz w:val="32"/>
                <w:szCs w:val="32"/>
              </w:rPr>
            </w:pPr>
            <w:r>
              <w:rPr>
                <w:rFonts w:hint="eastAsia" w:ascii="仿宋_GB2312" w:eastAsia="仿宋_GB2312"/>
                <w:sz w:val="32"/>
                <w:szCs w:val="32"/>
              </w:rPr>
              <w:t>金华市</w:t>
            </w:r>
          </w:p>
          <w:p>
            <w:pPr>
              <w:spacing w:line="600" w:lineRule="exact"/>
              <w:jc w:val="center"/>
              <w:rPr>
                <w:rFonts w:hint="eastAsia" w:ascii="仿宋_GB2312" w:eastAsia="仿宋_GB2312"/>
                <w:sz w:val="32"/>
                <w:szCs w:val="32"/>
              </w:rPr>
            </w:pPr>
            <w:r>
              <w:rPr>
                <w:rFonts w:hint="eastAsia" w:ascii="仿宋_GB2312" w:eastAsia="仿宋_GB2312"/>
                <w:sz w:val="32"/>
                <w:szCs w:val="32"/>
              </w:rPr>
              <w:t>财政局</w:t>
            </w:r>
          </w:p>
          <w:p>
            <w:pPr>
              <w:spacing w:line="600" w:lineRule="exact"/>
              <w:jc w:val="both"/>
              <w:rPr>
                <w:rFonts w:hint="eastAsia" w:ascii="仿宋_GB2312" w:hAnsi="Calibri" w:eastAsia="仿宋_GB2312" w:cs="Times New Roman"/>
                <w:color w:val="auto"/>
                <w:kern w:val="2"/>
                <w:sz w:val="32"/>
                <w:szCs w:val="32"/>
                <w:lang w:val="en-US" w:eastAsia="zh-CN" w:bidi="ar-SA"/>
              </w:rPr>
            </w:pPr>
          </w:p>
        </w:tc>
        <w:tc>
          <w:tcPr>
            <w:tcW w:w="3860" w:type="dxa"/>
            <w:vAlign w:val="center"/>
          </w:tcPr>
          <w:p>
            <w:pPr>
              <w:spacing w:line="600" w:lineRule="exact"/>
              <w:jc w:val="left"/>
              <w:rPr>
                <w:rFonts w:hint="eastAsia" w:ascii="仿宋_GB2312" w:hAnsi="Calibri" w:eastAsia="仿宋_GB2312" w:cs="Times New Roman"/>
                <w:color w:val="auto"/>
                <w:kern w:val="2"/>
                <w:sz w:val="32"/>
                <w:szCs w:val="32"/>
                <w:lang w:val="en-US" w:eastAsia="zh-CN" w:bidi="ar-SA"/>
              </w:rPr>
            </w:pPr>
            <w:r>
              <w:rPr>
                <w:rFonts w:hint="eastAsia" w:ascii="仿宋_GB2312" w:eastAsia="仿宋_GB2312"/>
                <w:sz w:val="32"/>
                <w:szCs w:val="32"/>
              </w:rPr>
              <w:t>采纳。已在四（十二）作具体表述，引导</w:t>
            </w:r>
            <w:r>
              <w:rPr>
                <w:rFonts w:hint="eastAsia" w:ascii="仿宋_GB2312" w:eastAsia="仿宋_GB2312"/>
                <w:sz w:val="32"/>
                <w:szCs w:val="32"/>
                <w:lang w:eastAsia="zh-CN"/>
              </w:rPr>
              <w:t>会计师</w:t>
            </w:r>
            <w:r>
              <w:rPr>
                <w:rFonts w:hint="eastAsia" w:ascii="仿宋_GB2312" w:eastAsia="仿宋_GB2312"/>
                <w:sz w:val="32"/>
                <w:szCs w:val="32"/>
              </w:rPr>
              <w:t>事务所做精做专、错位发展。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817" w:type="dxa"/>
            <w:vAlign w:val="center"/>
          </w:tcPr>
          <w:p>
            <w:pPr>
              <w:spacing w:line="600" w:lineRule="exact"/>
              <w:jc w:val="center"/>
              <w:rPr>
                <w:rFonts w:hint="default" w:ascii="仿宋_GB2312" w:eastAsia="仿宋_GB2312"/>
                <w:sz w:val="32"/>
                <w:szCs w:val="32"/>
                <w:lang w:val="en-US" w:eastAsia="zh-CN"/>
              </w:rPr>
            </w:pPr>
            <w:r>
              <w:rPr>
                <w:rFonts w:hint="eastAsia" w:ascii="仿宋_GB2312" w:eastAsia="仿宋_GB2312"/>
                <w:sz w:val="32"/>
                <w:szCs w:val="32"/>
                <w:lang w:val="en-US" w:eastAsia="zh-CN"/>
              </w:rPr>
              <w:t>10</w:t>
            </w:r>
          </w:p>
        </w:tc>
        <w:tc>
          <w:tcPr>
            <w:tcW w:w="7938" w:type="dxa"/>
            <w:vAlign w:val="center"/>
          </w:tcPr>
          <w:p>
            <w:pPr>
              <w:spacing w:line="600" w:lineRule="exact"/>
              <w:rPr>
                <w:rFonts w:hint="default"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sz w:val="32"/>
                <w:szCs w:val="32"/>
              </w:rPr>
              <w:t>建议建立电子数据平台，提高银行函证的效率。</w:t>
            </w:r>
          </w:p>
        </w:tc>
        <w:tc>
          <w:tcPr>
            <w:tcW w:w="1559" w:type="dxa"/>
            <w:vAlign w:val="center"/>
          </w:tcPr>
          <w:p>
            <w:pPr>
              <w:spacing w:line="600" w:lineRule="exact"/>
              <w:jc w:val="center"/>
              <w:rPr>
                <w:rFonts w:ascii="仿宋_GB2312" w:eastAsia="仿宋_GB2312"/>
                <w:sz w:val="32"/>
                <w:szCs w:val="32"/>
              </w:rPr>
            </w:pPr>
            <w:r>
              <w:rPr>
                <w:rFonts w:hint="eastAsia" w:ascii="仿宋_GB2312" w:eastAsia="仿宋_GB2312"/>
                <w:sz w:val="32"/>
                <w:szCs w:val="32"/>
              </w:rPr>
              <w:t>金华市</w:t>
            </w:r>
          </w:p>
          <w:p>
            <w:pPr>
              <w:spacing w:line="600" w:lineRule="exact"/>
              <w:jc w:val="center"/>
              <w:rPr>
                <w:rFonts w:hint="eastAsia" w:ascii="仿宋_GB2312" w:hAnsi="Calibri" w:eastAsia="仿宋_GB2312" w:cs="Times New Roman"/>
                <w:color w:val="auto"/>
                <w:kern w:val="2"/>
                <w:sz w:val="32"/>
                <w:szCs w:val="32"/>
                <w:lang w:val="en-US" w:eastAsia="zh-CN" w:bidi="ar-SA"/>
              </w:rPr>
            </w:pPr>
            <w:r>
              <w:rPr>
                <w:rFonts w:hint="eastAsia" w:ascii="仿宋_GB2312" w:eastAsia="仿宋_GB2312"/>
                <w:sz w:val="32"/>
                <w:szCs w:val="32"/>
              </w:rPr>
              <w:t>财政局</w:t>
            </w:r>
          </w:p>
        </w:tc>
        <w:tc>
          <w:tcPr>
            <w:tcW w:w="3860" w:type="dxa"/>
            <w:vAlign w:val="center"/>
          </w:tcPr>
          <w:p>
            <w:pPr>
              <w:keepNext w:val="0"/>
              <w:keepLines w:val="0"/>
              <w:widowControl/>
              <w:suppressLineNumbers w:val="0"/>
              <w:jc w:val="left"/>
              <w:rPr>
                <w:rFonts w:hint="eastAsia" w:ascii="仿宋_GB2312" w:hAnsi="Calibri" w:eastAsia="仿宋_GB2312" w:cs="Times New Roman"/>
                <w:color w:val="auto"/>
                <w:kern w:val="2"/>
                <w:sz w:val="32"/>
                <w:szCs w:val="32"/>
                <w:lang w:val="en-US" w:eastAsia="zh-CN" w:bidi="ar-SA"/>
              </w:rPr>
            </w:pPr>
            <w:r>
              <w:rPr>
                <w:rFonts w:hint="eastAsia" w:ascii="仿宋_GB2312" w:hAnsi="仿宋_GB2312" w:eastAsia="仿宋_GB2312" w:cs="仿宋_GB2312"/>
                <w:sz w:val="32"/>
                <w:szCs w:val="32"/>
                <w:lang w:val="en-US" w:eastAsia="zh-CN"/>
              </w:rPr>
              <w:t>采纳。已在二（三）表述为“依托省金融综合服务平台，为开户在省内法人银行的会计师事务所提供电子函证数据对接平台。”作为指导意见表述更为规范准确。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817" w:type="dxa"/>
            <w:vAlign w:val="center"/>
          </w:tcPr>
          <w:p>
            <w:pPr>
              <w:spacing w:line="600" w:lineRule="exact"/>
              <w:jc w:val="center"/>
              <w:rPr>
                <w:rFonts w:hint="default" w:ascii="仿宋_GB2312" w:eastAsia="仿宋_GB2312"/>
                <w:sz w:val="32"/>
                <w:szCs w:val="32"/>
                <w:lang w:val="en-US" w:eastAsia="zh-CN"/>
              </w:rPr>
            </w:pPr>
            <w:r>
              <w:rPr>
                <w:rFonts w:hint="eastAsia" w:ascii="仿宋_GB2312" w:eastAsia="仿宋_GB2312"/>
                <w:sz w:val="32"/>
                <w:szCs w:val="32"/>
                <w:lang w:val="en-US" w:eastAsia="zh-CN"/>
              </w:rPr>
              <w:t>11</w:t>
            </w:r>
          </w:p>
        </w:tc>
        <w:tc>
          <w:tcPr>
            <w:tcW w:w="7938" w:type="dxa"/>
            <w:vAlign w:val="center"/>
          </w:tcPr>
          <w:p>
            <w:pPr>
              <w:spacing w:line="600" w:lineRule="exact"/>
              <w:jc w:val="both"/>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sz w:val="32"/>
                <w:szCs w:val="32"/>
                <w:lang w:eastAsia="zh-CN"/>
              </w:rPr>
              <w:t>建议加强对中小事务所的管控及扶持力度。建议加大对中小型会计师事务所的管控力度,扩大对中小型事务所的年度检查力度及频率,对于检查结果良好的中小型事务所应给予一定奖励,对检查中存在非重大问题的中小型事务所应采取辅导为主,惩罚为次的柔性手段作为管控的主要措施。同时,秉持对中小型会计师事务所积极扶持的目的,应积极引导和帮助中小型事务所树立品牌形象意识,打造具有特色的非鉴证类产品,以改善目前中小型会计师事务所生存空间被一步步挤压的不利局面。</w:t>
            </w:r>
          </w:p>
        </w:tc>
        <w:tc>
          <w:tcPr>
            <w:tcW w:w="1559" w:type="dxa"/>
            <w:vAlign w:val="center"/>
          </w:tcPr>
          <w:p>
            <w:pPr>
              <w:spacing w:line="600" w:lineRule="exact"/>
              <w:jc w:val="center"/>
              <w:rPr>
                <w:rFonts w:hint="eastAsia" w:ascii="仿宋_GB2312" w:eastAsia="仿宋_GB2312"/>
                <w:sz w:val="32"/>
                <w:szCs w:val="32"/>
                <w:lang w:eastAsia="zh-CN"/>
              </w:rPr>
            </w:pPr>
          </w:p>
          <w:p>
            <w:pPr>
              <w:spacing w:line="600" w:lineRule="exact"/>
              <w:jc w:val="center"/>
              <w:rPr>
                <w:rFonts w:hint="eastAsia" w:ascii="仿宋_GB2312" w:eastAsia="仿宋_GB2312"/>
                <w:sz w:val="32"/>
                <w:szCs w:val="32"/>
                <w:lang w:eastAsia="zh-CN"/>
              </w:rPr>
            </w:pPr>
          </w:p>
          <w:p>
            <w:pPr>
              <w:spacing w:line="600" w:lineRule="exact"/>
              <w:jc w:val="center"/>
              <w:rPr>
                <w:rFonts w:hint="eastAsia" w:ascii="仿宋_GB2312" w:eastAsia="仿宋_GB2312"/>
                <w:sz w:val="32"/>
                <w:szCs w:val="32"/>
                <w:lang w:eastAsia="zh-CN"/>
              </w:rPr>
            </w:pPr>
          </w:p>
          <w:p>
            <w:pPr>
              <w:spacing w:line="600" w:lineRule="exact"/>
              <w:jc w:val="center"/>
              <w:rPr>
                <w:rFonts w:hint="eastAsia" w:ascii="仿宋_GB2312" w:eastAsia="仿宋_GB2312"/>
                <w:sz w:val="32"/>
                <w:szCs w:val="32"/>
                <w:lang w:eastAsia="zh-CN"/>
              </w:rPr>
            </w:pPr>
            <w:r>
              <w:rPr>
                <w:rFonts w:hint="eastAsia" w:ascii="仿宋_GB2312" w:eastAsia="仿宋_GB2312"/>
                <w:sz w:val="32"/>
                <w:szCs w:val="32"/>
                <w:lang w:eastAsia="zh-CN"/>
              </w:rPr>
              <w:t>绍兴市</w:t>
            </w:r>
          </w:p>
          <w:p>
            <w:pPr>
              <w:spacing w:line="600" w:lineRule="exact"/>
              <w:jc w:val="center"/>
              <w:rPr>
                <w:rFonts w:hint="eastAsia" w:ascii="仿宋_GB2312" w:hAnsi="Calibri" w:eastAsia="仿宋_GB2312" w:cs="Times New Roman"/>
                <w:color w:val="auto"/>
                <w:kern w:val="2"/>
                <w:sz w:val="32"/>
                <w:szCs w:val="32"/>
                <w:lang w:val="en-US" w:eastAsia="zh-CN" w:bidi="ar-SA"/>
              </w:rPr>
            </w:pPr>
            <w:r>
              <w:rPr>
                <w:rFonts w:hint="eastAsia" w:ascii="仿宋_GB2312" w:eastAsia="仿宋_GB2312"/>
                <w:sz w:val="32"/>
                <w:szCs w:val="32"/>
                <w:lang w:eastAsia="zh-CN"/>
              </w:rPr>
              <w:t>财政局</w:t>
            </w:r>
          </w:p>
        </w:tc>
        <w:tc>
          <w:tcPr>
            <w:tcW w:w="3860" w:type="dxa"/>
            <w:vAlign w:val="center"/>
          </w:tcPr>
          <w:p>
            <w:pPr>
              <w:spacing w:line="600" w:lineRule="exact"/>
              <w:jc w:val="left"/>
              <w:rPr>
                <w:rFonts w:hint="eastAsia" w:ascii="仿宋_GB2312" w:hAnsi="Calibri" w:eastAsia="仿宋_GB2312" w:cs="Times New Roman"/>
                <w:color w:val="auto"/>
                <w:kern w:val="2"/>
                <w:sz w:val="32"/>
                <w:szCs w:val="32"/>
                <w:lang w:val="en-US" w:eastAsia="zh-CN" w:bidi="ar-SA"/>
              </w:rPr>
            </w:pPr>
            <w:r>
              <w:rPr>
                <w:rFonts w:hint="eastAsia" w:ascii="仿宋_GB2312" w:eastAsia="仿宋_GB2312"/>
                <w:sz w:val="32"/>
                <w:szCs w:val="32"/>
                <w:lang w:eastAsia="zh-CN"/>
              </w:rPr>
              <w:t>采纳。该条建议内容在本文中均有意思相近的表述，且本文强调引导会计师事务所错位发展，表述更为具体。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817" w:type="dxa"/>
            <w:vAlign w:val="center"/>
          </w:tcPr>
          <w:p>
            <w:pPr>
              <w:spacing w:line="600" w:lineRule="exact"/>
              <w:jc w:val="center"/>
              <w:rPr>
                <w:rFonts w:hint="default" w:ascii="仿宋_GB2312" w:eastAsia="仿宋_GB2312"/>
                <w:sz w:val="32"/>
                <w:szCs w:val="32"/>
                <w:lang w:val="en-US" w:eastAsia="zh-CN"/>
              </w:rPr>
            </w:pPr>
            <w:r>
              <w:rPr>
                <w:rFonts w:hint="eastAsia" w:ascii="仿宋_GB2312" w:eastAsia="仿宋_GB2312"/>
                <w:sz w:val="32"/>
                <w:szCs w:val="32"/>
                <w:lang w:val="en-US" w:eastAsia="zh-CN"/>
              </w:rPr>
              <w:t>12</w:t>
            </w:r>
          </w:p>
        </w:tc>
        <w:tc>
          <w:tcPr>
            <w:tcW w:w="7938" w:type="dxa"/>
            <w:vAlign w:val="center"/>
          </w:tcPr>
          <w:p>
            <w:pPr>
              <w:spacing w:line="600" w:lineRule="exact"/>
              <w:jc w:val="both"/>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sz w:val="32"/>
                <w:szCs w:val="32"/>
                <w:lang w:eastAsia="zh-CN"/>
              </w:rPr>
              <w:t>建议参照高端其他行业人才引进标准,制定和落实行业优秀人才的激励机制和标准,鼓励高学历、高素质、复合型的人才加入到注册会计师行业中来,为行业注入新鲜的血液,进而带动整个行业的健康有序的发展。</w:t>
            </w:r>
          </w:p>
        </w:tc>
        <w:tc>
          <w:tcPr>
            <w:tcW w:w="1559" w:type="dxa"/>
            <w:vAlign w:val="center"/>
          </w:tcPr>
          <w:p>
            <w:pPr>
              <w:spacing w:line="600" w:lineRule="exact"/>
              <w:jc w:val="center"/>
              <w:rPr>
                <w:rFonts w:hint="eastAsia" w:ascii="仿宋_GB2312" w:eastAsia="仿宋_GB2312"/>
                <w:sz w:val="32"/>
                <w:szCs w:val="32"/>
                <w:lang w:eastAsia="zh-CN"/>
              </w:rPr>
            </w:pPr>
            <w:r>
              <w:rPr>
                <w:rFonts w:hint="eastAsia" w:ascii="仿宋_GB2312" w:eastAsia="仿宋_GB2312"/>
                <w:sz w:val="32"/>
                <w:szCs w:val="32"/>
                <w:lang w:eastAsia="zh-CN"/>
              </w:rPr>
              <w:t>绍兴市</w:t>
            </w:r>
          </w:p>
          <w:p>
            <w:pPr>
              <w:spacing w:line="600" w:lineRule="exact"/>
              <w:jc w:val="center"/>
              <w:rPr>
                <w:rFonts w:hint="eastAsia" w:ascii="仿宋_GB2312" w:hAnsi="Calibri" w:eastAsia="仿宋_GB2312" w:cs="Times New Roman"/>
                <w:color w:val="auto"/>
                <w:kern w:val="2"/>
                <w:sz w:val="32"/>
                <w:szCs w:val="32"/>
                <w:lang w:val="en-US" w:eastAsia="zh-CN" w:bidi="ar-SA"/>
              </w:rPr>
            </w:pPr>
            <w:r>
              <w:rPr>
                <w:rFonts w:hint="eastAsia" w:ascii="仿宋_GB2312" w:eastAsia="仿宋_GB2312"/>
                <w:sz w:val="32"/>
                <w:szCs w:val="32"/>
                <w:lang w:eastAsia="zh-CN"/>
              </w:rPr>
              <w:t>财政局</w:t>
            </w:r>
          </w:p>
        </w:tc>
        <w:tc>
          <w:tcPr>
            <w:tcW w:w="3860" w:type="dxa"/>
            <w:vAlign w:val="center"/>
          </w:tcPr>
          <w:p>
            <w:pPr>
              <w:spacing w:line="600" w:lineRule="exact"/>
              <w:jc w:val="left"/>
              <w:rPr>
                <w:rFonts w:hint="eastAsia" w:ascii="仿宋_GB2312" w:hAnsi="Calibri" w:eastAsia="仿宋_GB2312" w:cs="Times New Roman"/>
                <w:color w:val="auto"/>
                <w:kern w:val="2"/>
                <w:sz w:val="32"/>
                <w:szCs w:val="32"/>
                <w:lang w:val="en-US" w:eastAsia="zh-CN" w:bidi="ar-SA"/>
              </w:rPr>
            </w:pPr>
            <w:r>
              <w:rPr>
                <w:rFonts w:hint="eastAsia" w:ascii="仿宋_GB2312" w:eastAsia="仿宋_GB2312"/>
                <w:sz w:val="32"/>
                <w:szCs w:val="32"/>
                <w:lang w:eastAsia="zh-CN"/>
              </w:rPr>
              <w:t>采纳。该条建议内容在本文五（十四）中有意思相近的表述。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817" w:type="dxa"/>
            <w:vAlign w:val="center"/>
          </w:tcPr>
          <w:p>
            <w:pPr>
              <w:spacing w:line="600" w:lineRule="exact"/>
              <w:jc w:val="center"/>
              <w:rPr>
                <w:rFonts w:hint="default" w:ascii="仿宋_GB2312" w:eastAsia="仿宋_GB2312"/>
                <w:sz w:val="32"/>
                <w:szCs w:val="32"/>
                <w:lang w:val="en-US" w:eastAsia="zh-CN"/>
              </w:rPr>
            </w:pPr>
            <w:r>
              <w:rPr>
                <w:rFonts w:hint="eastAsia" w:ascii="仿宋_GB2312" w:eastAsia="仿宋_GB2312"/>
                <w:sz w:val="32"/>
                <w:szCs w:val="32"/>
                <w:lang w:val="en-US" w:eastAsia="zh-CN"/>
              </w:rPr>
              <w:t>13</w:t>
            </w:r>
          </w:p>
        </w:tc>
        <w:tc>
          <w:tcPr>
            <w:tcW w:w="7938" w:type="dxa"/>
            <w:vAlign w:val="center"/>
          </w:tcPr>
          <w:p>
            <w:pPr>
              <w:spacing w:line="600" w:lineRule="exact"/>
              <w:jc w:val="both"/>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sz w:val="32"/>
                <w:szCs w:val="32"/>
                <w:lang w:eastAsia="zh-CN"/>
              </w:rPr>
              <w:t>建议明确事务所执业质量年度检查小组成员，由财政厅出面检查，组建检查人员专家库，小组成员在专家库中随机抽取。</w:t>
            </w:r>
          </w:p>
        </w:tc>
        <w:tc>
          <w:tcPr>
            <w:tcW w:w="1559" w:type="dxa"/>
            <w:vAlign w:val="center"/>
          </w:tcPr>
          <w:p>
            <w:pPr>
              <w:spacing w:line="600" w:lineRule="exact"/>
              <w:jc w:val="center"/>
              <w:rPr>
                <w:rFonts w:hint="eastAsia" w:ascii="仿宋_GB2312" w:eastAsia="仿宋_GB2312"/>
                <w:sz w:val="32"/>
                <w:szCs w:val="32"/>
                <w:lang w:eastAsia="zh-CN"/>
              </w:rPr>
            </w:pPr>
            <w:r>
              <w:rPr>
                <w:rFonts w:hint="eastAsia" w:ascii="仿宋_GB2312" w:eastAsia="仿宋_GB2312"/>
                <w:sz w:val="32"/>
                <w:szCs w:val="32"/>
                <w:lang w:eastAsia="zh-CN"/>
              </w:rPr>
              <w:t>台州市</w:t>
            </w:r>
          </w:p>
          <w:p>
            <w:pPr>
              <w:spacing w:line="600" w:lineRule="exact"/>
              <w:jc w:val="center"/>
              <w:rPr>
                <w:rFonts w:hint="eastAsia" w:ascii="仿宋_GB2312" w:hAnsi="Calibri" w:eastAsia="仿宋_GB2312" w:cs="Times New Roman"/>
                <w:color w:val="auto"/>
                <w:kern w:val="2"/>
                <w:sz w:val="32"/>
                <w:szCs w:val="32"/>
                <w:lang w:val="en-US" w:eastAsia="zh-CN" w:bidi="ar-SA"/>
              </w:rPr>
            </w:pPr>
            <w:r>
              <w:rPr>
                <w:rFonts w:hint="eastAsia" w:ascii="仿宋_GB2312" w:eastAsia="仿宋_GB2312"/>
                <w:sz w:val="32"/>
                <w:szCs w:val="32"/>
                <w:lang w:eastAsia="zh-CN"/>
              </w:rPr>
              <w:t>财政局</w:t>
            </w:r>
          </w:p>
        </w:tc>
        <w:tc>
          <w:tcPr>
            <w:tcW w:w="3860" w:type="dxa"/>
            <w:vAlign w:val="center"/>
          </w:tcPr>
          <w:p>
            <w:pPr>
              <w:spacing w:line="600" w:lineRule="exact"/>
              <w:jc w:val="left"/>
              <w:rPr>
                <w:rFonts w:hint="eastAsia" w:ascii="仿宋_GB2312" w:hAnsi="Calibri" w:eastAsia="仿宋_GB2312" w:cs="Times New Roman"/>
                <w:color w:val="auto"/>
                <w:kern w:val="2"/>
                <w:sz w:val="32"/>
                <w:szCs w:val="32"/>
                <w:lang w:val="en-US" w:eastAsia="zh-CN" w:bidi="ar-SA"/>
              </w:rPr>
            </w:pPr>
            <w:r>
              <w:rPr>
                <w:rFonts w:hint="eastAsia" w:ascii="仿宋_GB2312" w:eastAsia="仿宋_GB2312"/>
                <w:sz w:val="32"/>
                <w:szCs w:val="32"/>
                <w:lang w:eastAsia="zh-CN"/>
              </w:rPr>
              <w:t>采纳。目前会计师事务所执业质量检查按照“双随机 一公开”模式开展。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817" w:type="dxa"/>
            <w:vAlign w:val="center"/>
          </w:tcPr>
          <w:p>
            <w:pPr>
              <w:spacing w:line="600" w:lineRule="exact"/>
              <w:jc w:val="center"/>
              <w:rPr>
                <w:rFonts w:hint="default" w:ascii="仿宋_GB2312" w:eastAsia="仿宋_GB2312"/>
                <w:sz w:val="32"/>
                <w:szCs w:val="32"/>
                <w:lang w:val="en-US" w:eastAsia="zh-CN"/>
              </w:rPr>
            </w:pPr>
            <w:r>
              <w:rPr>
                <w:rFonts w:hint="eastAsia" w:ascii="仿宋_GB2312" w:eastAsia="仿宋_GB2312"/>
                <w:sz w:val="32"/>
                <w:szCs w:val="32"/>
                <w:lang w:val="en-US" w:eastAsia="zh-CN"/>
              </w:rPr>
              <w:t>14</w:t>
            </w:r>
          </w:p>
        </w:tc>
        <w:tc>
          <w:tcPr>
            <w:tcW w:w="7938" w:type="dxa"/>
            <w:vAlign w:val="center"/>
          </w:tcPr>
          <w:p>
            <w:pPr>
              <w:spacing w:line="600" w:lineRule="exact"/>
              <w:jc w:val="both"/>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sz w:val="32"/>
                <w:szCs w:val="32"/>
                <w:lang w:eastAsia="zh-CN"/>
              </w:rPr>
              <w:t>建议对检查结果的惩戒，应采用打分的方法，尽量减少现在人为的定性决定的惩戒方式，特别是发现故意造假或故意隐瞒的不诚信的事务所必须从严惩戒。</w:t>
            </w:r>
          </w:p>
        </w:tc>
        <w:tc>
          <w:tcPr>
            <w:tcW w:w="1559" w:type="dxa"/>
            <w:vAlign w:val="center"/>
          </w:tcPr>
          <w:p>
            <w:pPr>
              <w:spacing w:line="600" w:lineRule="exact"/>
              <w:jc w:val="center"/>
              <w:rPr>
                <w:rFonts w:hint="eastAsia" w:ascii="仿宋_GB2312" w:eastAsia="仿宋_GB2312"/>
                <w:sz w:val="32"/>
                <w:szCs w:val="32"/>
                <w:lang w:eastAsia="zh-CN"/>
              </w:rPr>
            </w:pPr>
            <w:r>
              <w:rPr>
                <w:rFonts w:hint="eastAsia" w:ascii="仿宋_GB2312" w:eastAsia="仿宋_GB2312"/>
                <w:sz w:val="32"/>
                <w:szCs w:val="32"/>
                <w:lang w:eastAsia="zh-CN"/>
              </w:rPr>
              <w:t>台州市</w:t>
            </w:r>
          </w:p>
          <w:p>
            <w:pPr>
              <w:spacing w:line="600" w:lineRule="exact"/>
              <w:jc w:val="center"/>
              <w:rPr>
                <w:rFonts w:hint="eastAsia" w:ascii="仿宋_GB2312" w:hAnsi="Calibri" w:eastAsia="仿宋_GB2312" w:cs="Times New Roman"/>
                <w:color w:val="auto"/>
                <w:kern w:val="2"/>
                <w:sz w:val="32"/>
                <w:szCs w:val="32"/>
                <w:lang w:val="en-US" w:eastAsia="zh-CN" w:bidi="ar-SA"/>
              </w:rPr>
            </w:pPr>
            <w:r>
              <w:rPr>
                <w:rFonts w:hint="eastAsia" w:ascii="仿宋_GB2312" w:eastAsia="仿宋_GB2312"/>
                <w:sz w:val="32"/>
                <w:szCs w:val="32"/>
                <w:lang w:eastAsia="zh-CN"/>
              </w:rPr>
              <w:t>财政局</w:t>
            </w:r>
          </w:p>
        </w:tc>
        <w:tc>
          <w:tcPr>
            <w:tcW w:w="3860" w:type="dxa"/>
            <w:vAlign w:val="center"/>
          </w:tcPr>
          <w:p>
            <w:pPr>
              <w:spacing w:line="600" w:lineRule="exact"/>
              <w:jc w:val="left"/>
              <w:rPr>
                <w:rFonts w:hint="eastAsia" w:ascii="仿宋_GB2312" w:hAnsi="Calibri" w:eastAsia="仿宋_GB2312" w:cs="Times New Roman"/>
                <w:color w:val="auto"/>
                <w:kern w:val="2"/>
                <w:sz w:val="32"/>
                <w:szCs w:val="32"/>
                <w:lang w:val="en-US" w:eastAsia="zh-CN" w:bidi="ar-SA"/>
              </w:rPr>
            </w:pPr>
            <w:r>
              <w:rPr>
                <w:rFonts w:hint="eastAsia" w:ascii="仿宋_GB2312" w:eastAsia="仿宋_GB2312"/>
                <w:sz w:val="32"/>
                <w:szCs w:val="32"/>
                <w:lang w:eastAsia="zh-CN"/>
              </w:rPr>
              <w:t>采纳。通过</w:t>
            </w:r>
            <w:r>
              <w:rPr>
                <w:rFonts w:hint="eastAsia" w:ascii="仿宋_GB2312" w:hAnsi="仿宋_GB2312" w:eastAsia="仿宋_GB2312"/>
                <w:sz w:val="32"/>
                <w:szCs w:val="32"/>
              </w:rPr>
              <w:t>注册会计师行业诚信体系</w:t>
            </w:r>
            <w:r>
              <w:rPr>
                <w:rFonts w:hint="eastAsia" w:ascii="仿宋_GB2312" w:hAnsi="仿宋_GB2312" w:eastAsia="仿宋_GB2312"/>
                <w:sz w:val="32"/>
                <w:szCs w:val="32"/>
                <w:lang w:eastAsia="zh-CN"/>
              </w:rPr>
              <w:t>建设对</w:t>
            </w:r>
            <w:r>
              <w:rPr>
                <w:rFonts w:hint="eastAsia" w:ascii="仿宋_GB2312" w:hAnsi="仿宋_GB2312" w:eastAsia="仿宋_GB2312" w:cs="仿宋_GB2312"/>
                <w:sz w:val="32"/>
                <w:szCs w:val="32"/>
                <w:lang w:eastAsia="zh-CN"/>
              </w:rPr>
              <w:t>故意造假或故意隐瞒的不诚信的事务所从严惩戒。“采用打分的方式出具检查结果”作为具体措施不适合在指导意见中单独强调。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817" w:type="dxa"/>
            <w:vAlign w:val="center"/>
          </w:tcPr>
          <w:p>
            <w:pPr>
              <w:spacing w:line="600" w:lineRule="exact"/>
              <w:jc w:val="center"/>
              <w:rPr>
                <w:rFonts w:hint="default" w:ascii="仿宋_GB2312" w:eastAsia="仿宋_GB2312"/>
                <w:sz w:val="32"/>
                <w:szCs w:val="32"/>
                <w:lang w:val="en-US" w:eastAsia="zh-CN"/>
              </w:rPr>
            </w:pPr>
            <w:r>
              <w:rPr>
                <w:rFonts w:hint="eastAsia" w:ascii="仿宋_GB2312" w:eastAsia="仿宋_GB2312"/>
                <w:sz w:val="32"/>
                <w:szCs w:val="32"/>
                <w:lang w:val="en-US" w:eastAsia="zh-CN"/>
              </w:rPr>
              <w:t>15</w:t>
            </w:r>
          </w:p>
        </w:tc>
        <w:tc>
          <w:tcPr>
            <w:tcW w:w="7938" w:type="dxa"/>
            <w:vAlign w:val="center"/>
          </w:tcPr>
          <w:p>
            <w:pPr>
              <w:spacing w:line="600" w:lineRule="exact"/>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sz w:val="32"/>
                <w:szCs w:val="32"/>
                <w:lang w:eastAsia="zh-CN"/>
              </w:rPr>
              <w:t>建议重点查处跨行政区域设置固定经营场所和人员进行执业的会计师事务所。</w:t>
            </w:r>
          </w:p>
        </w:tc>
        <w:tc>
          <w:tcPr>
            <w:tcW w:w="1559" w:type="dxa"/>
            <w:vAlign w:val="center"/>
          </w:tcPr>
          <w:p>
            <w:pPr>
              <w:spacing w:line="600" w:lineRule="exact"/>
              <w:jc w:val="center"/>
              <w:rPr>
                <w:rFonts w:hint="eastAsia" w:ascii="仿宋_GB2312" w:eastAsia="仿宋_GB2312"/>
                <w:sz w:val="32"/>
                <w:szCs w:val="32"/>
                <w:lang w:eastAsia="zh-CN"/>
              </w:rPr>
            </w:pPr>
            <w:r>
              <w:rPr>
                <w:rFonts w:hint="eastAsia" w:ascii="仿宋_GB2312" w:eastAsia="仿宋_GB2312"/>
                <w:sz w:val="32"/>
                <w:szCs w:val="32"/>
                <w:lang w:eastAsia="zh-CN"/>
              </w:rPr>
              <w:t>丽水市</w:t>
            </w:r>
          </w:p>
          <w:p>
            <w:pPr>
              <w:spacing w:line="600" w:lineRule="exact"/>
              <w:jc w:val="center"/>
              <w:rPr>
                <w:rFonts w:hint="eastAsia" w:ascii="仿宋_GB2312" w:hAnsi="Calibri" w:eastAsia="仿宋_GB2312" w:cs="Times New Roman"/>
                <w:color w:val="auto"/>
                <w:kern w:val="2"/>
                <w:sz w:val="32"/>
                <w:szCs w:val="32"/>
                <w:lang w:val="en-US" w:eastAsia="zh-CN" w:bidi="ar-SA"/>
              </w:rPr>
            </w:pPr>
            <w:r>
              <w:rPr>
                <w:rFonts w:hint="eastAsia" w:ascii="仿宋_GB2312" w:eastAsia="仿宋_GB2312"/>
                <w:sz w:val="32"/>
                <w:szCs w:val="32"/>
                <w:lang w:eastAsia="zh-CN"/>
              </w:rPr>
              <w:t>财政局</w:t>
            </w:r>
          </w:p>
        </w:tc>
        <w:tc>
          <w:tcPr>
            <w:tcW w:w="3860" w:type="dxa"/>
            <w:vAlign w:val="center"/>
          </w:tcPr>
          <w:p>
            <w:pPr>
              <w:keepNext w:val="0"/>
              <w:keepLines w:val="0"/>
              <w:widowControl/>
              <w:suppressLineNumbers w:val="0"/>
              <w:jc w:val="left"/>
              <w:rPr>
                <w:rFonts w:hint="eastAsia" w:ascii="仿宋_GB2312" w:hAnsi="Calibri" w:eastAsia="仿宋_GB2312" w:cs="Times New Roman"/>
                <w:color w:val="auto"/>
                <w:kern w:val="2"/>
                <w:sz w:val="32"/>
                <w:szCs w:val="32"/>
                <w:lang w:val="en-US" w:eastAsia="zh-CN" w:bidi="ar-SA"/>
              </w:rPr>
            </w:pPr>
            <w:r>
              <w:rPr>
                <w:rFonts w:hint="eastAsia" w:ascii="仿宋_GB2312" w:eastAsia="仿宋_GB2312"/>
                <w:sz w:val="32"/>
                <w:szCs w:val="32"/>
                <w:lang w:val="en-US" w:eastAsia="zh-CN"/>
              </w:rPr>
              <w:t>采纳。但按照依法监管的原则，该条建议不适合作为一个监管内容在本文中单独强调。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Align w:val="center"/>
          </w:tcPr>
          <w:p>
            <w:pPr>
              <w:spacing w:line="600" w:lineRule="exact"/>
              <w:jc w:val="center"/>
              <w:rPr>
                <w:rFonts w:hint="default" w:ascii="仿宋_GB2312" w:eastAsia="仿宋_GB2312"/>
                <w:sz w:val="32"/>
                <w:szCs w:val="32"/>
                <w:lang w:val="en-US" w:eastAsia="zh-CN"/>
              </w:rPr>
            </w:pPr>
            <w:r>
              <w:rPr>
                <w:rFonts w:hint="eastAsia" w:ascii="仿宋_GB2312" w:eastAsia="仿宋_GB2312"/>
                <w:sz w:val="32"/>
                <w:szCs w:val="32"/>
                <w:lang w:val="en-US" w:eastAsia="zh-CN"/>
              </w:rPr>
              <w:t>16</w:t>
            </w:r>
          </w:p>
        </w:tc>
        <w:tc>
          <w:tcPr>
            <w:tcW w:w="7938" w:type="dxa"/>
            <w:vAlign w:val="center"/>
          </w:tcPr>
          <w:p>
            <w:pPr>
              <w:spacing w:line="600" w:lineRule="exact"/>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sz w:val="32"/>
                <w:szCs w:val="32"/>
                <w:lang w:eastAsia="zh-CN"/>
              </w:rPr>
              <w:t>建议在建立“一库一码”的情况下，对会计报表审计业务的收费设置一个最低收费折率，监管部门应对该项目进行针对性的质量检查，检查项目的审计程序是否实施到位。</w:t>
            </w:r>
          </w:p>
        </w:tc>
        <w:tc>
          <w:tcPr>
            <w:tcW w:w="1559" w:type="dxa"/>
            <w:vAlign w:val="center"/>
          </w:tcPr>
          <w:p>
            <w:pPr>
              <w:spacing w:line="600" w:lineRule="exact"/>
              <w:jc w:val="center"/>
              <w:rPr>
                <w:rFonts w:hint="eastAsia" w:ascii="仿宋_GB2312" w:eastAsia="仿宋_GB2312"/>
                <w:sz w:val="32"/>
                <w:szCs w:val="32"/>
                <w:lang w:eastAsia="zh-CN"/>
              </w:rPr>
            </w:pPr>
            <w:r>
              <w:rPr>
                <w:rFonts w:hint="eastAsia" w:ascii="仿宋_GB2312" w:eastAsia="仿宋_GB2312"/>
                <w:sz w:val="32"/>
                <w:szCs w:val="32"/>
                <w:lang w:eastAsia="zh-CN"/>
              </w:rPr>
              <w:t>丽水市</w:t>
            </w:r>
          </w:p>
          <w:p>
            <w:pPr>
              <w:spacing w:line="600" w:lineRule="exact"/>
              <w:jc w:val="center"/>
              <w:rPr>
                <w:rFonts w:hint="eastAsia" w:ascii="仿宋_GB2312" w:hAnsi="Calibri" w:eastAsia="仿宋_GB2312" w:cs="Times New Roman"/>
                <w:color w:val="auto"/>
                <w:kern w:val="2"/>
                <w:sz w:val="32"/>
                <w:szCs w:val="32"/>
                <w:lang w:val="en-US" w:eastAsia="zh-CN" w:bidi="ar-SA"/>
              </w:rPr>
            </w:pPr>
            <w:r>
              <w:rPr>
                <w:rFonts w:hint="eastAsia" w:ascii="仿宋_GB2312" w:eastAsia="仿宋_GB2312"/>
                <w:sz w:val="32"/>
                <w:szCs w:val="32"/>
                <w:lang w:eastAsia="zh-CN"/>
              </w:rPr>
              <w:t>财政局</w:t>
            </w:r>
          </w:p>
        </w:tc>
        <w:tc>
          <w:tcPr>
            <w:tcW w:w="3860" w:type="dxa"/>
            <w:vAlign w:val="center"/>
          </w:tcPr>
          <w:p>
            <w:pPr>
              <w:spacing w:line="600" w:lineRule="exact"/>
              <w:jc w:val="left"/>
              <w:rPr>
                <w:rFonts w:hint="eastAsia" w:ascii="仿宋_GB2312" w:hAnsi="Calibri" w:eastAsia="仿宋_GB2312" w:cs="Times New Roman"/>
                <w:color w:val="auto"/>
                <w:kern w:val="2"/>
                <w:sz w:val="32"/>
                <w:szCs w:val="32"/>
                <w:lang w:val="en-US" w:eastAsia="zh-CN" w:bidi="ar-SA"/>
              </w:rPr>
            </w:pPr>
            <w:r>
              <w:rPr>
                <w:rFonts w:hint="eastAsia" w:ascii="仿宋_GB2312" w:eastAsia="仿宋_GB2312"/>
                <w:sz w:val="32"/>
                <w:szCs w:val="32"/>
                <w:lang w:eastAsia="zh-CN"/>
              </w:rPr>
              <w:t>采纳。但该项内容</w:t>
            </w:r>
            <w:r>
              <w:rPr>
                <w:rFonts w:hint="eastAsia" w:ascii="仿宋_GB2312" w:hAnsi="仿宋_GB2312" w:eastAsia="仿宋_GB2312" w:cs="仿宋_GB2312"/>
                <w:sz w:val="32"/>
                <w:szCs w:val="32"/>
                <w:lang w:eastAsia="zh-CN"/>
              </w:rPr>
              <w:t>作为具体措施不适合在指导意见中单独强调，将在后续工作中加以考虑。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Align w:val="center"/>
          </w:tcPr>
          <w:p>
            <w:pPr>
              <w:spacing w:line="600" w:lineRule="exact"/>
              <w:jc w:val="center"/>
              <w:rPr>
                <w:rFonts w:hint="default" w:ascii="仿宋_GB2312" w:eastAsia="仿宋_GB2312"/>
                <w:sz w:val="32"/>
                <w:szCs w:val="32"/>
                <w:lang w:val="en-US" w:eastAsia="zh-CN"/>
              </w:rPr>
            </w:pPr>
            <w:r>
              <w:rPr>
                <w:rFonts w:hint="eastAsia" w:ascii="仿宋_GB2312" w:eastAsia="仿宋_GB2312"/>
                <w:sz w:val="32"/>
                <w:szCs w:val="32"/>
                <w:lang w:val="en-US" w:eastAsia="zh-CN"/>
              </w:rPr>
              <w:t>17</w:t>
            </w:r>
          </w:p>
        </w:tc>
        <w:tc>
          <w:tcPr>
            <w:tcW w:w="7938" w:type="dxa"/>
            <w:vAlign w:val="center"/>
          </w:tcPr>
          <w:p>
            <w:pPr>
              <w:keepNext w:val="0"/>
              <w:keepLines w:val="0"/>
              <w:pageBreakBefore w:val="0"/>
              <w:widowControl w:val="0"/>
              <w:kinsoku/>
              <w:wordWrap/>
              <w:overflowPunct/>
              <w:topLinePunct w:val="0"/>
              <w:autoSpaceDE/>
              <w:autoSpaceDN/>
              <w:bidi w:val="0"/>
              <w:adjustRightInd/>
              <w:snapToGrid/>
              <w:spacing w:line="600" w:lineRule="exact"/>
              <w:ind w:firstLine="0" w:firstLineChars="0"/>
              <w:textAlignment w:val="auto"/>
              <w:rPr>
                <w:rFonts w:hint="eastAsia" w:ascii="楷体_GB2312" w:hAnsi="Calibri" w:eastAsia="楷体_GB2312" w:cs="Times New Roman"/>
                <w:b/>
                <w:bCs/>
                <w:color w:val="auto"/>
                <w:kern w:val="2"/>
                <w:sz w:val="32"/>
                <w:szCs w:val="32"/>
                <w:lang w:val="en-US" w:eastAsia="zh-CN" w:bidi="ar-SA"/>
              </w:rPr>
            </w:pPr>
            <w:r>
              <w:rPr>
                <w:rFonts w:hint="eastAsia" w:ascii="仿宋_GB2312" w:hAnsi="仿宋_GB2312" w:eastAsia="仿宋_GB2312" w:cs="仿宋_GB2312"/>
                <w:color w:val="auto"/>
                <w:sz w:val="32"/>
                <w:szCs w:val="32"/>
              </w:rPr>
              <w:t>“（五）加强行业日常监管”一段中，建议在第五行“贯彻落实注册会计师行业严重失信主体名单管理办法，加快注册会计师行业诚信体系建设”后增加“建立信用等级评定制度，评定事务所及相关从业人员的信用等级”。</w:t>
            </w:r>
          </w:p>
        </w:tc>
        <w:tc>
          <w:tcPr>
            <w:tcW w:w="1559" w:type="dxa"/>
            <w:vAlign w:val="center"/>
          </w:tcPr>
          <w:p>
            <w:pPr>
              <w:spacing w:line="600" w:lineRule="exact"/>
              <w:jc w:val="center"/>
              <w:rPr>
                <w:rFonts w:hint="eastAsia" w:ascii="楷体_GB2312" w:hAnsi="Calibri" w:eastAsia="楷体_GB2312" w:cs="Times New Roman"/>
                <w:b/>
                <w:bCs/>
                <w:color w:val="auto"/>
                <w:kern w:val="2"/>
                <w:sz w:val="32"/>
                <w:szCs w:val="32"/>
                <w:lang w:val="en-US" w:eastAsia="zh-CN" w:bidi="ar-SA"/>
              </w:rPr>
            </w:pPr>
            <w:r>
              <w:rPr>
                <w:rFonts w:hint="eastAsia" w:ascii="仿宋_GB2312" w:eastAsia="仿宋_GB2312"/>
                <w:sz w:val="32"/>
                <w:szCs w:val="32"/>
                <w:lang w:eastAsia="zh-CN"/>
              </w:rPr>
              <w:t>省人大财经委</w:t>
            </w:r>
          </w:p>
        </w:tc>
        <w:tc>
          <w:tcPr>
            <w:tcW w:w="3860" w:type="dxa"/>
            <w:vAlign w:val="center"/>
          </w:tcPr>
          <w:p>
            <w:pPr>
              <w:spacing w:line="600" w:lineRule="exact"/>
              <w:jc w:val="center"/>
              <w:rPr>
                <w:rFonts w:hint="eastAsia" w:ascii="楷体_GB2312" w:hAnsi="Calibri" w:eastAsia="楷体_GB2312" w:cs="Times New Roman"/>
                <w:b/>
                <w:bCs/>
                <w:color w:val="auto"/>
                <w:kern w:val="2"/>
                <w:sz w:val="32"/>
                <w:szCs w:val="32"/>
                <w:lang w:val="en-US" w:eastAsia="zh-CN" w:bidi="ar-SA"/>
              </w:rPr>
            </w:pPr>
            <w:r>
              <w:rPr>
                <w:rFonts w:hint="eastAsia" w:ascii="仿宋_GB2312" w:hAnsi="仿宋_GB2312" w:eastAsia="仿宋_GB2312" w:cs="仿宋_GB2312"/>
                <w:bCs/>
                <w:kern w:val="0"/>
                <w:sz w:val="32"/>
                <w:szCs w:val="32"/>
                <w:lang w:eastAsia="zh-CN"/>
              </w:rPr>
              <w:t>未采纳，已与省人大财经委沟通并达成一致意见。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54" w:hRule="atLeast"/>
        </w:trPr>
        <w:tc>
          <w:tcPr>
            <w:tcW w:w="817" w:type="dxa"/>
            <w:vAlign w:val="center"/>
          </w:tcPr>
          <w:p>
            <w:pPr>
              <w:spacing w:line="600" w:lineRule="exact"/>
              <w:jc w:val="center"/>
              <w:rPr>
                <w:rFonts w:hint="default" w:ascii="仿宋_GB2312" w:eastAsia="仿宋_GB2312"/>
                <w:sz w:val="32"/>
                <w:szCs w:val="32"/>
                <w:lang w:val="en-US" w:eastAsia="zh-CN"/>
              </w:rPr>
            </w:pPr>
            <w:r>
              <w:rPr>
                <w:rFonts w:hint="eastAsia" w:ascii="仿宋_GB2312" w:eastAsia="仿宋_GB2312"/>
                <w:sz w:val="32"/>
                <w:szCs w:val="32"/>
                <w:lang w:val="en-US" w:eastAsia="zh-CN"/>
              </w:rPr>
              <w:t>18</w:t>
            </w:r>
          </w:p>
        </w:tc>
        <w:tc>
          <w:tcPr>
            <w:tcW w:w="7938" w:type="dxa"/>
            <w:vAlign w:val="center"/>
          </w:tcPr>
          <w:p>
            <w:pPr>
              <w:spacing w:line="600" w:lineRule="exact"/>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sz w:val="32"/>
                <w:szCs w:val="32"/>
              </w:rPr>
              <w:t>数字赋能提升行业监管水平方面。建议将“鉴证业务报告防伪报备制度”，修改为</w:t>
            </w:r>
            <w:r>
              <w:rPr>
                <w:rFonts w:ascii="Calibri" w:hAnsi="Calibri" w:eastAsia="仿宋_GB2312" w:cs="Calibri"/>
                <w:sz w:val="32"/>
                <w:szCs w:val="32"/>
              </w:rPr>
              <w:t> </w:t>
            </w:r>
            <w:r>
              <w:rPr>
                <w:rFonts w:hint="eastAsia" w:ascii="仿宋_GB2312" w:hAnsi="仿宋_GB2312" w:eastAsia="仿宋_GB2312" w:cs="仿宋_GB2312"/>
                <w:sz w:val="32"/>
                <w:szCs w:val="32"/>
              </w:rPr>
              <w:t>“审计、鉴证业务报告防伪报备制度”。</w:t>
            </w:r>
          </w:p>
        </w:tc>
        <w:tc>
          <w:tcPr>
            <w:tcW w:w="1559" w:type="dxa"/>
            <w:vAlign w:val="center"/>
          </w:tcPr>
          <w:p>
            <w:pPr>
              <w:spacing w:line="600" w:lineRule="exact"/>
              <w:jc w:val="center"/>
              <w:rPr>
                <w:rFonts w:hint="eastAsia" w:ascii="仿宋_GB2312" w:hAnsi="Calibri" w:eastAsia="仿宋_GB2312" w:cs="Times New Roman"/>
                <w:color w:val="auto"/>
                <w:kern w:val="2"/>
                <w:sz w:val="32"/>
                <w:szCs w:val="32"/>
                <w:lang w:val="en-US" w:eastAsia="zh-CN" w:bidi="ar-SA"/>
              </w:rPr>
            </w:pPr>
            <w:r>
              <w:rPr>
                <w:rFonts w:hint="eastAsia" w:ascii="仿宋_GB2312" w:eastAsia="仿宋_GB2312" w:cs="Times New Roman"/>
                <w:color w:val="auto"/>
                <w:kern w:val="2"/>
                <w:sz w:val="32"/>
                <w:szCs w:val="32"/>
                <w:lang w:val="en-US" w:eastAsia="zh-CN" w:bidi="ar-SA"/>
              </w:rPr>
              <w:t>杭州市财政局</w:t>
            </w:r>
          </w:p>
        </w:tc>
        <w:tc>
          <w:tcPr>
            <w:tcW w:w="3860" w:type="dxa"/>
            <w:vAlign w:val="center"/>
          </w:tcPr>
          <w:p>
            <w:pPr>
              <w:spacing w:line="600" w:lineRule="exact"/>
              <w:jc w:val="left"/>
              <w:rPr>
                <w:rFonts w:hint="eastAsia" w:ascii="仿宋_GB2312" w:hAnsi="Calibri" w:eastAsia="仿宋_GB2312" w:cs="Times New Roman"/>
                <w:color w:val="auto"/>
                <w:kern w:val="2"/>
                <w:sz w:val="32"/>
                <w:szCs w:val="32"/>
                <w:lang w:val="en-US" w:eastAsia="zh-CN" w:bidi="ar-SA"/>
              </w:rPr>
            </w:pPr>
            <w:r>
              <w:rPr>
                <w:rFonts w:hint="eastAsia" w:ascii="仿宋_GB2312" w:eastAsia="仿宋_GB2312"/>
                <w:sz w:val="32"/>
                <w:szCs w:val="32"/>
                <w:lang w:eastAsia="zh-CN"/>
              </w:rPr>
              <w:t>未</w:t>
            </w:r>
            <w:r>
              <w:rPr>
                <w:rFonts w:hint="eastAsia" w:ascii="仿宋_GB2312" w:eastAsia="仿宋_GB2312"/>
                <w:sz w:val="32"/>
                <w:szCs w:val="32"/>
              </w:rPr>
              <w:t>采纳。</w:t>
            </w:r>
            <w:r>
              <w:rPr>
                <w:rFonts w:hint="eastAsia" w:ascii="仿宋_GB2312" w:eastAsia="仿宋_GB2312"/>
                <w:sz w:val="32"/>
                <w:szCs w:val="32"/>
                <w:lang w:eastAsia="zh-CN"/>
              </w:rPr>
              <w:t>根据《注册会计师法》第一条，鉴证业务已包含审计业务。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Align w:val="center"/>
          </w:tcPr>
          <w:p>
            <w:pPr>
              <w:spacing w:line="600" w:lineRule="exact"/>
              <w:jc w:val="center"/>
              <w:rPr>
                <w:rFonts w:hint="default" w:ascii="仿宋_GB2312" w:eastAsia="仿宋_GB2312"/>
                <w:sz w:val="32"/>
                <w:szCs w:val="32"/>
                <w:lang w:val="en-US" w:eastAsia="zh-CN"/>
              </w:rPr>
            </w:pPr>
            <w:r>
              <w:rPr>
                <w:rFonts w:hint="eastAsia" w:ascii="仿宋_GB2312" w:eastAsia="仿宋_GB2312"/>
                <w:sz w:val="32"/>
                <w:szCs w:val="32"/>
                <w:lang w:val="en-US" w:eastAsia="zh-CN"/>
              </w:rPr>
              <w:t>19</w:t>
            </w:r>
          </w:p>
        </w:tc>
        <w:tc>
          <w:tcPr>
            <w:tcW w:w="7938" w:type="dxa"/>
            <w:vAlign w:val="center"/>
          </w:tcPr>
          <w:p>
            <w:pPr>
              <w:spacing w:line="60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提高会计信息质量方面。建议协调相关部门开放数据，使会计师事务所能够获取企业工商登记、信用报告、税务数据、银行流水等必要信息，提高对数据的真实性判断；明确被审计单位的供应商和客户、金融机构等相关单位应当配合会计师事务所实施审计程序、获取审计证据，并对其提供的有关资料和文件的真实性、完整性、准确性负责。</w:t>
            </w:r>
          </w:p>
        </w:tc>
        <w:tc>
          <w:tcPr>
            <w:tcW w:w="1559" w:type="dxa"/>
            <w:vAlign w:val="center"/>
          </w:tcPr>
          <w:p>
            <w:pPr>
              <w:spacing w:line="600" w:lineRule="exact"/>
              <w:jc w:val="center"/>
              <w:rPr>
                <w:rFonts w:ascii="仿宋_GB2312" w:eastAsia="仿宋_GB2312"/>
                <w:sz w:val="32"/>
                <w:szCs w:val="32"/>
              </w:rPr>
            </w:pPr>
            <w:r>
              <w:rPr>
                <w:rFonts w:hint="eastAsia" w:ascii="仿宋_GB2312" w:eastAsia="仿宋_GB2312"/>
                <w:sz w:val="32"/>
                <w:szCs w:val="32"/>
              </w:rPr>
              <w:t>杭州市</w:t>
            </w:r>
          </w:p>
          <w:p>
            <w:pPr>
              <w:spacing w:line="600" w:lineRule="exact"/>
              <w:jc w:val="center"/>
              <w:rPr>
                <w:rFonts w:hint="eastAsia" w:ascii="仿宋_GB2312" w:eastAsia="仿宋_GB2312"/>
                <w:sz w:val="32"/>
                <w:szCs w:val="32"/>
              </w:rPr>
            </w:pPr>
            <w:r>
              <w:rPr>
                <w:rFonts w:hint="eastAsia" w:ascii="仿宋_GB2312" w:eastAsia="仿宋_GB2312"/>
                <w:sz w:val="32"/>
                <w:szCs w:val="32"/>
              </w:rPr>
              <w:t>财政局</w:t>
            </w:r>
          </w:p>
        </w:tc>
        <w:tc>
          <w:tcPr>
            <w:tcW w:w="3860" w:type="dxa"/>
            <w:vAlign w:val="center"/>
          </w:tcPr>
          <w:p>
            <w:pPr>
              <w:keepNext w:val="0"/>
              <w:keepLines w:val="0"/>
              <w:widowControl/>
              <w:suppressLineNumbers w:val="0"/>
              <w:jc w:val="left"/>
              <w:rPr>
                <w:rFonts w:hint="eastAsia" w:ascii="仿宋_GB2312" w:eastAsia="仿宋_GB2312"/>
                <w:sz w:val="32"/>
                <w:szCs w:val="32"/>
              </w:rPr>
            </w:pPr>
            <w:r>
              <w:rPr>
                <w:rFonts w:hint="eastAsia" w:ascii="仿宋_GB2312" w:eastAsia="仿宋_GB2312"/>
                <w:sz w:val="32"/>
                <w:szCs w:val="32"/>
                <w:lang w:val="en-US" w:eastAsia="zh-CN"/>
              </w:rPr>
              <w:t>未采纳。涉及审计准则问题，省级财政部门无权制定相关规定，</w:t>
            </w:r>
            <w:r>
              <w:rPr>
                <w:rFonts w:hint="eastAsia" w:ascii="仿宋_GB2312" w:hAnsi="Times New Roman" w:eastAsia="仿宋_GB2312" w:cs="Times New Roman"/>
                <w:sz w:val="32"/>
                <w:szCs w:val="32"/>
                <w:lang w:val="en-US" w:eastAsia="zh-CN"/>
              </w:rPr>
              <w:t>将在后续工作中向财政部提出建议</w:t>
            </w:r>
            <w:r>
              <w:rPr>
                <w:rFonts w:hint="eastAsia" w:ascii="仿宋_GB2312" w:eastAsia="仿宋_GB2312"/>
                <w:sz w:val="32"/>
                <w:szCs w:val="32"/>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96" w:hRule="atLeast"/>
        </w:trPr>
        <w:tc>
          <w:tcPr>
            <w:tcW w:w="817" w:type="dxa"/>
            <w:vAlign w:val="center"/>
          </w:tcPr>
          <w:p>
            <w:pPr>
              <w:spacing w:line="600" w:lineRule="exact"/>
              <w:jc w:val="center"/>
              <w:rPr>
                <w:rFonts w:hint="default" w:ascii="仿宋_GB2312" w:eastAsia="仿宋_GB2312"/>
                <w:sz w:val="32"/>
                <w:szCs w:val="32"/>
                <w:lang w:val="en-US" w:eastAsia="zh-CN"/>
              </w:rPr>
            </w:pPr>
            <w:r>
              <w:rPr>
                <w:rFonts w:hint="eastAsia" w:ascii="仿宋_GB2312" w:eastAsia="仿宋_GB2312"/>
                <w:sz w:val="32"/>
                <w:szCs w:val="32"/>
                <w:lang w:val="en-US" w:eastAsia="zh-CN"/>
              </w:rPr>
              <w:t>20</w:t>
            </w:r>
          </w:p>
        </w:tc>
        <w:tc>
          <w:tcPr>
            <w:tcW w:w="7938" w:type="dxa"/>
            <w:vAlign w:val="center"/>
          </w:tcPr>
          <w:p>
            <w:pPr>
              <w:tabs>
                <w:tab w:val="left" w:pos="0"/>
              </w:tabs>
              <w:spacing w:line="360" w:lineRule="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完善会计师事务所选聘机制方面。在后续“探索建立适合注册会计师行业特点的招投标机制”时，建议禁止行政事业单位及国有企业设置各类中介库，杜绝招投标中采用低价优先法，制定注册会计师计时最低收费标准。</w:t>
            </w:r>
          </w:p>
        </w:tc>
        <w:tc>
          <w:tcPr>
            <w:tcW w:w="1559" w:type="dxa"/>
            <w:vAlign w:val="center"/>
          </w:tcPr>
          <w:p>
            <w:pPr>
              <w:spacing w:line="600" w:lineRule="exact"/>
              <w:jc w:val="center"/>
              <w:rPr>
                <w:rFonts w:ascii="仿宋_GB2312" w:eastAsia="仿宋_GB2312"/>
                <w:sz w:val="32"/>
                <w:szCs w:val="32"/>
              </w:rPr>
            </w:pPr>
            <w:r>
              <w:rPr>
                <w:rFonts w:hint="eastAsia" w:ascii="仿宋_GB2312" w:eastAsia="仿宋_GB2312"/>
                <w:sz w:val="32"/>
                <w:szCs w:val="32"/>
              </w:rPr>
              <w:t>杭州市</w:t>
            </w:r>
          </w:p>
          <w:p>
            <w:pPr>
              <w:spacing w:line="600" w:lineRule="exact"/>
              <w:jc w:val="center"/>
              <w:rPr>
                <w:rFonts w:hint="eastAsia" w:ascii="仿宋_GB2312" w:eastAsia="仿宋_GB2312"/>
                <w:sz w:val="32"/>
                <w:szCs w:val="32"/>
              </w:rPr>
            </w:pPr>
            <w:r>
              <w:rPr>
                <w:rFonts w:hint="eastAsia" w:ascii="仿宋_GB2312" w:eastAsia="仿宋_GB2312"/>
                <w:sz w:val="32"/>
                <w:szCs w:val="32"/>
              </w:rPr>
              <w:t>财政局</w:t>
            </w:r>
          </w:p>
        </w:tc>
        <w:tc>
          <w:tcPr>
            <w:tcW w:w="3860" w:type="dxa"/>
            <w:vAlign w:val="center"/>
          </w:tcPr>
          <w:p>
            <w:pPr>
              <w:spacing w:line="600" w:lineRule="exact"/>
              <w:jc w:val="both"/>
              <w:rPr>
                <w:rFonts w:hint="eastAsia" w:ascii="仿宋_GB2312" w:eastAsia="仿宋_GB2312"/>
                <w:sz w:val="32"/>
                <w:szCs w:val="32"/>
                <w:lang w:eastAsia="zh-CN"/>
              </w:rPr>
            </w:pPr>
            <w:r>
              <w:rPr>
                <w:rFonts w:hint="eastAsia" w:ascii="仿宋_GB2312" w:eastAsia="仿宋_GB2312"/>
                <w:sz w:val="32"/>
                <w:szCs w:val="32"/>
                <w:lang w:eastAsia="zh-CN"/>
              </w:rPr>
              <w:t>未采纳。财政部正在酝酿制定《国有企业、上市公司选聘会计师事务所管理办法》，届时按新办法执行。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Align w:val="center"/>
          </w:tcPr>
          <w:p>
            <w:pPr>
              <w:spacing w:line="600" w:lineRule="exact"/>
              <w:jc w:val="center"/>
              <w:rPr>
                <w:rFonts w:hint="default" w:ascii="仿宋_GB2312" w:eastAsia="仿宋_GB2312"/>
                <w:sz w:val="32"/>
                <w:szCs w:val="32"/>
                <w:lang w:val="en-US" w:eastAsia="zh-CN"/>
              </w:rPr>
            </w:pPr>
            <w:r>
              <w:rPr>
                <w:rFonts w:hint="eastAsia" w:ascii="仿宋_GB2312" w:eastAsia="仿宋_GB2312"/>
                <w:sz w:val="32"/>
                <w:szCs w:val="32"/>
                <w:lang w:val="en-US" w:eastAsia="zh-CN"/>
              </w:rPr>
              <w:t>21</w:t>
            </w:r>
          </w:p>
        </w:tc>
        <w:tc>
          <w:tcPr>
            <w:tcW w:w="7938" w:type="dxa"/>
            <w:vAlign w:val="center"/>
          </w:tcPr>
          <w:p>
            <w:pPr>
              <w:spacing w:line="60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规范银行函证业务方面。建议出台对银行电子函证的具体操作流程；实施电子函证后，银行相应降低收费；推进省内银行函证区块链建设，提高函证效率，降低函证成本；依托浙江省数字化平台，筹建省内企业往来电子函证平台。</w:t>
            </w:r>
          </w:p>
        </w:tc>
        <w:tc>
          <w:tcPr>
            <w:tcW w:w="1559" w:type="dxa"/>
            <w:vAlign w:val="center"/>
          </w:tcPr>
          <w:p>
            <w:pPr>
              <w:spacing w:line="600" w:lineRule="exact"/>
              <w:jc w:val="center"/>
              <w:rPr>
                <w:rFonts w:ascii="仿宋_GB2312" w:eastAsia="仿宋_GB2312"/>
                <w:sz w:val="32"/>
                <w:szCs w:val="32"/>
              </w:rPr>
            </w:pPr>
            <w:r>
              <w:rPr>
                <w:rFonts w:hint="eastAsia" w:ascii="仿宋_GB2312" w:eastAsia="仿宋_GB2312"/>
                <w:sz w:val="32"/>
                <w:szCs w:val="32"/>
              </w:rPr>
              <w:t>杭州市</w:t>
            </w:r>
          </w:p>
          <w:p>
            <w:pPr>
              <w:spacing w:line="600" w:lineRule="exact"/>
              <w:jc w:val="center"/>
              <w:rPr>
                <w:rFonts w:hint="eastAsia" w:ascii="仿宋_GB2312" w:eastAsia="仿宋_GB2312"/>
                <w:sz w:val="32"/>
                <w:szCs w:val="32"/>
              </w:rPr>
            </w:pPr>
            <w:r>
              <w:rPr>
                <w:rFonts w:hint="eastAsia" w:ascii="仿宋_GB2312" w:eastAsia="仿宋_GB2312"/>
                <w:sz w:val="32"/>
                <w:szCs w:val="32"/>
              </w:rPr>
              <w:t>财政局</w:t>
            </w:r>
          </w:p>
        </w:tc>
        <w:tc>
          <w:tcPr>
            <w:tcW w:w="3860" w:type="dxa"/>
            <w:vAlign w:val="center"/>
          </w:tcPr>
          <w:p>
            <w:pPr>
              <w:keepNext w:val="0"/>
              <w:keepLines w:val="0"/>
              <w:widowControl/>
              <w:suppressLineNumbers w:val="0"/>
              <w:jc w:val="left"/>
              <w:rPr>
                <w:rFonts w:hint="eastAsia" w:ascii="仿宋_GB2312" w:hAnsi="仿宋_GB2312" w:eastAsia="仿宋_GB2312" w:cs="仿宋_GB2312"/>
                <w:bCs/>
                <w:kern w:val="0"/>
                <w:sz w:val="32"/>
                <w:szCs w:val="32"/>
              </w:rPr>
            </w:pPr>
            <w:r>
              <w:rPr>
                <w:rFonts w:hint="eastAsia" w:ascii="仿宋_GB2312" w:eastAsia="仿宋_GB2312"/>
                <w:sz w:val="32"/>
                <w:szCs w:val="32"/>
              </w:rPr>
              <w:t>未采纳。</w:t>
            </w:r>
            <w:r>
              <w:rPr>
                <w:rFonts w:hint="eastAsia" w:ascii="仿宋_GB2312" w:eastAsia="仿宋_GB2312"/>
                <w:sz w:val="32"/>
                <w:szCs w:val="32"/>
                <w:lang w:val="en-US" w:eastAsia="zh-CN"/>
              </w:rPr>
              <w:t>1.财政部2020年已经出台了银行函证操作指引；2.降低银行收费权限不在省级财政部门；3.在二（三）表述为“依托省金融综合服务平台，为开户在省内法人银行的会计师事务所提供电子函证数据对接平台”，作为指导意见表述更为规范准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Align w:val="center"/>
          </w:tcPr>
          <w:p>
            <w:pPr>
              <w:spacing w:line="600" w:lineRule="exact"/>
              <w:jc w:val="center"/>
              <w:rPr>
                <w:rFonts w:hint="default" w:ascii="仿宋_GB2312" w:eastAsia="仿宋_GB2312"/>
                <w:sz w:val="32"/>
                <w:szCs w:val="32"/>
                <w:lang w:val="en-US" w:eastAsia="zh-CN"/>
              </w:rPr>
            </w:pPr>
            <w:r>
              <w:rPr>
                <w:rFonts w:hint="eastAsia" w:ascii="仿宋_GB2312" w:eastAsia="仿宋_GB2312"/>
                <w:sz w:val="32"/>
                <w:szCs w:val="32"/>
                <w:lang w:val="en-US" w:eastAsia="zh-CN"/>
              </w:rPr>
              <w:t>22</w:t>
            </w:r>
          </w:p>
        </w:tc>
        <w:tc>
          <w:tcPr>
            <w:tcW w:w="7938" w:type="dxa"/>
            <w:vAlign w:val="center"/>
          </w:tcPr>
          <w:p>
            <w:pPr>
              <w:spacing w:line="60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推动建立监管协同机制方面。建议省厅牵头成立省注册会计师职业责任鉴定委员会，对存在争议的、需要进行鉴定的注册会计师职业责任，出具鉴定意见。</w:t>
            </w:r>
          </w:p>
        </w:tc>
        <w:tc>
          <w:tcPr>
            <w:tcW w:w="1559" w:type="dxa"/>
            <w:vAlign w:val="center"/>
          </w:tcPr>
          <w:p>
            <w:pPr>
              <w:spacing w:line="600" w:lineRule="exact"/>
              <w:jc w:val="center"/>
              <w:rPr>
                <w:rFonts w:ascii="仿宋_GB2312" w:eastAsia="仿宋_GB2312"/>
                <w:sz w:val="32"/>
                <w:szCs w:val="32"/>
              </w:rPr>
            </w:pPr>
            <w:r>
              <w:rPr>
                <w:rFonts w:hint="eastAsia" w:ascii="仿宋_GB2312" w:eastAsia="仿宋_GB2312"/>
                <w:sz w:val="32"/>
                <w:szCs w:val="32"/>
              </w:rPr>
              <w:t>杭州市</w:t>
            </w:r>
          </w:p>
          <w:p>
            <w:pPr>
              <w:spacing w:line="600" w:lineRule="exact"/>
              <w:jc w:val="center"/>
              <w:rPr>
                <w:rFonts w:hint="eastAsia" w:ascii="仿宋_GB2312" w:eastAsia="仿宋_GB2312"/>
                <w:sz w:val="32"/>
                <w:szCs w:val="32"/>
              </w:rPr>
            </w:pPr>
            <w:r>
              <w:rPr>
                <w:rFonts w:hint="eastAsia" w:ascii="仿宋_GB2312" w:eastAsia="仿宋_GB2312"/>
                <w:sz w:val="32"/>
                <w:szCs w:val="32"/>
              </w:rPr>
              <w:t>财政局</w:t>
            </w:r>
          </w:p>
        </w:tc>
        <w:tc>
          <w:tcPr>
            <w:tcW w:w="3860" w:type="dxa"/>
            <w:vAlign w:val="center"/>
          </w:tcPr>
          <w:p>
            <w:pPr>
              <w:keepNext w:val="0"/>
              <w:keepLines w:val="0"/>
              <w:widowControl/>
              <w:suppressLineNumbers w:val="0"/>
              <w:jc w:val="left"/>
              <w:rPr>
                <w:rFonts w:hint="eastAsia" w:ascii="仿宋_GB2312" w:eastAsia="仿宋_GB2312"/>
                <w:sz w:val="32"/>
                <w:szCs w:val="32"/>
              </w:rPr>
            </w:pPr>
            <w:r>
              <w:rPr>
                <w:rFonts w:hint="eastAsia" w:ascii="仿宋_GB2312" w:eastAsia="仿宋_GB2312"/>
                <w:sz w:val="32"/>
                <w:szCs w:val="32"/>
                <w:lang w:val="en-US" w:eastAsia="zh-CN"/>
              </w:rPr>
              <w:t>未采纳。注册会计师协会已具备此类职能。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Align w:val="center"/>
          </w:tcPr>
          <w:p>
            <w:pPr>
              <w:spacing w:line="600" w:lineRule="exact"/>
              <w:jc w:val="center"/>
              <w:rPr>
                <w:rFonts w:hint="default" w:ascii="仿宋_GB2312" w:eastAsia="仿宋_GB2312"/>
                <w:sz w:val="32"/>
                <w:szCs w:val="32"/>
                <w:lang w:val="en-US" w:eastAsia="zh-CN"/>
              </w:rPr>
            </w:pPr>
            <w:r>
              <w:rPr>
                <w:rFonts w:hint="eastAsia" w:ascii="仿宋_GB2312" w:eastAsia="仿宋_GB2312"/>
                <w:sz w:val="32"/>
                <w:szCs w:val="32"/>
                <w:lang w:val="en-US" w:eastAsia="zh-CN"/>
              </w:rPr>
              <w:t>23</w:t>
            </w:r>
          </w:p>
        </w:tc>
        <w:tc>
          <w:tcPr>
            <w:tcW w:w="7938" w:type="dxa"/>
            <w:vAlign w:val="center"/>
          </w:tcPr>
          <w:p>
            <w:pPr>
              <w:spacing w:line="60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引导会计师事务所提升审计风险承担能力方面。建议由行业主管部门牵头协调保险公司，推出更多价格合理、理赔方便的责任保险品种，以改变因价格高、理赔条件苛刻导致投保积极性不高的现状。</w:t>
            </w:r>
          </w:p>
        </w:tc>
        <w:tc>
          <w:tcPr>
            <w:tcW w:w="1559" w:type="dxa"/>
            <w:vAlign w:val="center"/>
          </w:tcPr>
          <w:p>
            <w:pPr>
              <w:spacing w:line="600" w:lineRule="exact"/>
              <w:jc w:val="center"/>
              <w:rPr>
                <w:rFonts w:ascii="仿宋_GB2312" w:eastAsia="仿宋_GB2312"/>
                <w:sz w:val="32"/>
                <w:szCs w:val="32"/>
              </w:rPr>
            </w:pPr>
            <w:r>
              <w:rPr>
                <w:rFonts w:hint="eastAsia" w:ascii="仿宋_GB2312" w:eastAsia="仿宋_GB2312"/>
                <w:sz w:val="32"/>
                <w:szCs w:val="32"/>
              </w:rPr>
              <w:t>杭州市</w:t>
            </w:r>
          </w:p>
          <w:p>
            <w:pPr>
              <w:spacing w:line="600" w:lineRule="exact"/>
              <w:jc w:val="center"/>
              <w:rPr>
                <w:rFonts w:hint="eastAsia" w:ascii="仿宋_GB2312" w:eastAsia="仿宋_GB2312"/>
                <w:sz w:val="32"/>
                <w:szCs w:val="32"/>
              </w:rPr>
            </w:pPr>
            <w:r>
              <w:rPr>
                <w:rFonts w:hint="eastAsia" w:ascii="仿宋_GB2312" w:eastAsia="仿宋_GB2312"/>
                <w:sz w:val="32"/>
                <w:szCs w:val="32"/>
              </w:rPr>
              <w:t>财政局</w:t>
            </w:r>
          </w:p>
        </w:tc>
        <w:tc>
          <w:tcPr>
            <w:tcW w:w="3860" w:type="dxa"/>
            <w:vAlign w:val="center"/>
          </w:tcPr>
          <w:p>
            <w:pPr>
              <w:keepNext w:val="0"/>
              <w:keepLines w:val="0"/>
              <w:widowControl/>
              <w:suppressLineNumbers w:val="0"/>
              <w:jc w:val="left"/>
              <w:rPr>
                <w:rFonts w:hint="eastAsia" w:ascii="仿宋_GB2312" w:eastAsia="仿宋_GB2312"/>
                <w:sz w:val="32"/>
                <w:szCs w:val="32"/>
                <w:lang w:eastAsia="zh-CN"/>
              </w:rPr>
            </w:pPr>
            <w:r>
              <w:rPr>
                <w:rFonts w:hint="eastAsia" w:ascii="仿宋_GB2312" w:hAnsi="Times New Roman" w:eastAsia="仿宋_GB2312" w:cs="Times New Roman"/>
                <w:sz w:val="32"/>
                <w:szCs w:val="32"/>
                <w:lang w:val="en-US" w:eastAsia="zh-CN"/>
              </w:rPr>
              <w:t>未采纳。将在后续工作中向财政部提出建议。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817" w:type="dxa"/>
            <w:vAlign w:val="center"/>
          </w:tcPr>
          <w:p>
            <w:pPr>
              <w:spacing w:line="600" w:lineRule="exact"/>
              <w:jc w:val="center"/>
              <w:rPr>
                <w:rFonts w:hint="default" w:ascii="仿宋_GB2312" w:eastAsia="仿宋_GB2312"/>
                <w:sz w:val="32"/>
                <w:szCs w:val="32"/>
                <w:lang w:val="en-US" w:eastAsia="zh-CN"/>
              </w:rPr>
            </w:pPr>
            <w:r>
              <w:rPr>
                <w:rFonts w:hint="eastAsia" w:ascii="仿宋_GB2312" w:eastAsia="仿宋_GB2312"/>
                <w:sz w:val="32"/>
                <w:szCs w:val="32"/>
                <w:lang w:val="en-US" w:eastAsia="zh-CN"/>
              </w:rPr>
              <w:t>24</w:t>
            </w:r>
          </w:p>
        </w:tc>
        <w:tc>
          <w:tcPr>
            <w:tcW w:w="7938" w:type="dxa"/>
            <w:vAlign w:val="center"/>
          </w:tcPr>
          <w:p>
            <w:pPr>
              <w:spacing w:line="60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加强专业培训教育方面。建议推动行业与高校合作，加强职业人才培养储备与招聘，不断提高行业在高校的影响力、吸引力。</w:t>
            </w:r>
          </w:p>
        </w:tc>
        <w:tc>
          <w:tcPr>
            <w:tcW w:w="1559" w:type="dxa"/>
            <w:vAlign w:val="center"/>
          </w:tcPr>
          <w:p>
            <w:pPr>
              <w:spacing w:line="600" w:lineRule="exact"/>
              <w:jc w:val="center"/>
              <w:rPr>
                <w:rFonts w:ascii="仿宋_GB2312" w:eastAsia="仿宋_GB2312"/>
                <w:sz w:val="32"/>
                <w:szCs w:val="32"/>
              </w:rPr>
            </w:pPr>
            <w:r>
              <w:rPr>
                <w:rFonts w:hint="eastAsia" w:ascii="仿宋_GB2312" w:eastAsia="仿宋_GB2312"/>
                <w:sz w:val="32"/>
                <w:szCs w:val="32"/>
              </w:rPr>
              <w:t>杭州市</w:t>
            </w:r>
          </w:p>
          <w:p>
            <w:pPr>
              <w:spacing w:line="600" w:lineRule="exact"/>
              <w:jc w:val="center"/>
              <w:rPr>
                <w:rFonts w:hint="eastAsia" w:ascii="仿宋_GB2312" w:eastAsia="仿宋_GB2312"/>
                <w:sz w:val="32"/>
                <w:szCs w:val="32"/>
              </w:rPr>
            </w:pPr>
            <w:r>
              <w:rPr>
                <w:rFonts w:hint="eastAsia" w:ascii="仿宋_GB2312" w:eastAsia="仿宋_GB2312"/>
                <w:sz w:val="32"/>
                <w:szCs w:val="32"/>
              </w:rPr>
              <w:t>财政局</w:t>
            </w:r>
          </w:p>
        </w:tc>
        <w:tc>
          <w:tcPr>
            <w:tcW w:w="3860" w:type="dxa"/>
            <w:vAlign w:val="center"/>
          </w:tcPr>
          <w:p>
            <w:pPr>
              <w:spacing w:line="600" w:lineRule="exact"/>
              <w:jc w:val="left"/>
              <w:rPr>
                <w:rFonts w:hint="eastAsia" w:ascii="仿宋_GB2312" w:eastAsia="仿宋_GB2312"/>
                <w:sz w:val="32"/>
                <w:szCs w:val="32"/>
              </w:rPr>
            </w:pPr>
            <w:r>
              <w:rPr>
                <w:rFonts w:hint="eastAsia" w:ascii="仿宋_GB2312" w:hAnsi="Times New Roman" w:eastAsia="仿宋_GB2312" w:cs="Times New Roman"/>
                <w:sz w:val="32"/>
                <w:szCs w:val="32"/>
                <w:lang w:val="en-US" w:eastAsia="zh-CN"/>
              </w:rPr>
              <w:t>未采纳。将在后续工作中向财政部提出建议。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26" w:hRule="atLeast"/>
        </w:trPr>
        <w:tc>
          <w:tcPr>
            <w:tcW w:w="817" w:type="dxa"/>
            <w:vAlign w:val="center"/>
          </w:tcPr>
          <w:p>
            <w:pPr>
              <w:spacing w:line="600" w:lineRule="exact"/>
              <w:jc w:val="center"/>
              <w:rPr>
                <w:rFonts w:hint="default" w:ascii="仿宋_GB2312" w:eastAsia="仿宋_GB2312"/>
                <w:sz w:val="32"/>
                <w:szCs w:val="32"/>
                <w:lang w:val="en-US" w:eastAsia="zh-CN"/>
              </w:rPr>
            </w:pPr>
            <w:r>
              <w:rPr>
                <w:rFonts w:hint="eastAsia" w:ascii="仿宋_GB2312" w:eastAsia="仿宋_GB2312"/>
                <w:sz w:val="32"/>
                <w:szCs w:val="32"/>
                <w:lang w:val="en-US" w:eastAsia="zh-CN"/>
              </w:rPr>
              <w:t>25</w:t>
            </w:r>
          </w:p>
        </w:tc>
        <w:tc>
          <w:tcPr>
            <w:tcW w:w="7938" w:type="dxa"/>
            <w:vAlign w:val="center"/>
          </w:tcPr>
          <w:p>
            <w:pPr>
              <w:spacing w:line="60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关于加强职业责任保险和职业风险基金计提情况</w:t>
            </w:r>
            <w:r>
              <w:rPr>
                <w:rFonts w:ascii="仿宋_GB2312" w:hAnsi="仿宋_GB2312" w:eastAsia="仿宋_GB2312" w:cs="仿宋_GB2312"/>
                <w:sz w:val="32"/>
                <w:szCs w:val="32"/>
              </w:rPr>
              <w:t>监督，规范职业风险基金管理和使用。这对提升事务所审计风险承担能力是否真正可以起到实质性作用。</w:t>
            </w:r>
          </w:p>
        </w:tc>
        <w:tc>
          <w:tcPr>
            <w:tcW w:w="1559" w:type="dxa"/>
            <w:vAlign w:val="center"/>
          </w:tcPr>
          <w:p>
            <w:pPr>
              <w:spacing w:line="600" w:lineRule="exact"/>
              <w:jc w:val="center"/>
              <w:rPr>
                <w:rFonts w:ascii="仿宋_GB2312" w:eastAsia="仿宋_GB2312"/>
                <w:sz w:val="32"/>
                <w:szCs w:val="32"/>
              </w:rPr>
            </w:pPr>
            <w:r>
              <w:rPr>
                <w:rFonts w:hint="eastAsia" w:ascii="仿宋_GB2312" w:eastAsia="仿宋_GB2312"/>
                <w:sz w:val="32"/>
                <w:szCs w:val="32"/>
              </w:rPr>
              <w:t>金华市</w:t>
            </w:r>
          </w:p>
          <w:p>
            <w:pPr>
              <w:spacing w:line="600" w:lineRule="exact"/>
              <w:jc w:val="center"/>
              <w:rPr>
                <w:rFonts w:hint="eastAsia" w:ascii="仿宋_GB2312" w:eastAsia="仿宋_GB2312"/>
                <w:sz w:val="32"/>
                <w:szCs w:val="32"/>
              </w:rPr>
            </w:pPr>
            <w:r>
              <w:rPr>
                <w:rFonts w:hint="eastAsia" w:ascii="仿宋_GB2312" w:eastAsia="仿宋_GB2312"/>
                <w:sz w:val="32"/>
                <w:szCs w:val="32"/>
              </w:rPr>
              <w:t>财政局</w:t>
            </w:r>
          </w:p>
          <w:p>
            <w:pPr>
              <w:spacing w:line="600" w:lineRule="exact"/>
              <w:jc w:val="center"/>
              <w:rPr>
                <w:rFonts w:hint="eastAsia" w:ascii="仿宋_GB2312" w:eastAsia="仿宋_GB2312"/>
                <w:sz w:val="32"/>
                <w:szCs w:val="32"/>
              </w:rPr>
            </w:pPr>
          </w:p>
        </w:tc>
        <w:tc>
          <w:tcPr>
            <w:tcW w:w="3860" w:type="dxa"/>
            <w:vAlign w:val="center"/>
          </w:tcPr>
          <w:p>
            <w:pPr>
              <w:keepNext w:val="0"/>
              <w:keepLines w:val="0"/>
              <w:widowControl/>
              <w:suppressLineNumbers w:val="0"/>
              <w:jc w:val="left"/>
              <w:rPr>
                <w:rFonts w:hint="eastAsia" w:ascii="仿宋_GB2312" w:eastAsia="仿宋_GB2312"/>
                <w:sz w:val="32"/>
                <w:szCs w:val="32"/>
                <w:lang w:eastAsia="zh-CN"/>
              </w:rPr>
            </w:pPr>
            <w:r>
              <w:rPr>
                <w:rFonts w:hint="eastAsia" w:ascii="仿宋_GB2312" w:eastAsia="仿宋_GB2312"/>
                <w:sz w:val="32"/>
                <w:szCs w:val="32"/>
                <w:lang w:val="en-US" w:eastAsia="zh-CN"/>
              </w:rPr>
              <w:t>未采纳。所提意见无实质性内容。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32" w:hRule="atLeast"/>
        </w:trPr>
        <w:tc>
          <w:tcPr>
            <w:tcW w:w="817" w:type="dxa"/>
            <w:vAlign w:val="center"/>
          </w:tcPr>
          <w:p>
            <w:pPr>
              <w:spacing w:line="600" w:lineRule="exact"/>
              <w:jc w:val="center"/>
              <w:rPr>
                <w:rFonts w:hint="default" w:ascii="仿宋_GB2312" w:eastAsia="仿宋_GB2312"/>
                <w:sz w:val="32"/>
                <w:szCs w:val="32"/>
                <w:lang w:val="en-US" w:eastAsia="zh-CN"/>
              </w:rPr>
            </w:pPr>
            <w:r>
              <w:rPr>
                <w:rFonts w:hint="eastAsia" w:ascii="仿宋_GB2312" w:eastAsia="仿宋_GB2312"/>
                <w:sz w:val="32"/>
                <w:szCs w:val="32"/>
                <w:lang w:val="en-US" w:eastAsia="zh-CN"/>
              </w:rPr>
              <w:t>26</w:t>
            </w:r>
          </w:p>
        </w:tc>
        <w:tc>
          <w:tcPr>
            <w:tcW w:w="7938" w:type="dxa"/>
            <w:vAlign w:val="center"/>
          </w:tcPr>
          <w:p>
            <w:pPr>
              <w:spacing w:line="60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有没有可能建立收费指导意见，以进一步规范收费标准，加强监管，遏制低价竞争。</w:t>
            </w:r>
          </w:p>
        </w:tc>
        <w:tc>
          <w:tcPr>
            <w:tcW w:w="1559" w:type="dxa"/>
            <w:vAlign w:val="center"/>
          </w:tcPr>
          <w:p>
            <w:pPr>
              <w:spacing w:line="600" w:lineRule="exact"/>
              <w:jc w:val="center"/>
              <w:rPr>
                <w:rFonts w:ascii="仿宋_GB2312" w:eastAsia="仿宋_GB2312"/>
                <w:sz w:val="32"/>
                <w:szCs w:val="32"/>
              </w:rPr>
            </w:pPr>
            <w:r>
              <w:rPr>
                <w:rFonts w:hint="eastAsia" w:ascii="仿宋_GB2312" w:eastAsia="仿宋_GB2312"/>
                <w:sz w:val="32"/>
                <w:szCs w:val="32"/>
              </w:rPr>
              <w:t>金华市</w:t>
            </w:r>
          </w:p>
          <w:p>
            <w:pPr>
              <w:spacing w:line="600" w:lineRule="exact"/>
              <w:jc w:val="center"/>
              <w:rPr>
                <w:rFonts w:hint="eastAsia" w:ascii="仿宋_GB2312" w:eastAsia="仿宋_GB2312"/>
                <w:sz w:val="32"/>
                <w:szCs w:val="32"/>
              </w:rPr>
            </w:pPr>
            <w:r>
              <w:rPr>
                <w:rFonts w:hint="eastAsia" w:ascii="仿宋_GB2312" w:eastAsia="仿宋_GB2312"/>
                <w:sz w:val="32"/>
                <w:szCs w:val="32"/>
              </w:rPr>
              <w:t>财政局</w:t>
            </w:r>
          </w:p>
        </w:tc>
        <w:tc>
          <w:tcPr>
            <w:tcW w:w="3860" w:type="dxa"/>
            <w:vAlign w:val="center"/>
          </w:tcPr>
          <w:p>
            <w:pPr>
              <w:keepNext w:val="0"/>
              <w:keepLines w:val="0"/>
              <w:widowControl/>
              <w:suppressLineNumbers w:val="0"/>
              <w:jc w:val="left"/>
              <w:rPr>
                <w:rFonts w:hint="eastAsia" w:ascii="仿宋_GB2312" w:eastAsia="仿宋_GB2312"/>
                <w:sz w:val="32"/>
                <w:szCs w:val="32"/>
              </w:rPr>
            </w:pPr>
            <w:r>
              <w:rPr>
                <w:rFonts w:hint="eastAsia" w:ascii="仿宋_GB2312" w:eastAsia="仿宋_GB2312"/>
                <w:sz w:val="32"/>
                <w:szCs w:val="32"/>
                <w:lang w:val="en-US" w:eastAsia="zh-CN"/>
              </w:rPr>
              <w:t>1.根据相关文件，会计师事务所服务价格已于2014年放开完全市场化，现审计收费由事务所与审计委托方双方协商确定 。2.</w:t>
            </w:r>
            <w:r>
              <w:rPr>
                <w:rFonts w:hint="eastAsia" w:ascii="仿宋_GB2312" w:eastAsia="仿宋_GB2312"/>
                <w:sz w:val="32"/>
                <w:szCs w:val="32"/>
                <w:lang w:eastAsia="zh-CN"/>
              </w:rPr>
              <w:t>财政部正在酝酿制定《国有企业、上市公司选聘会计师事务所管理办法》，届时按新办法执行。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Align w:val="center"/>
          </w:tcPr>
          <w:p>
            <w:pPr>
              <w:spacing w:line="600" w:lineRule="exact"/>
              <w:jc w:val="center"/>
              <w:rPr>
                <w:rFonts w:hint="default" w:ascii="仿宋_GB2312" w:eastAsia="仿宋_GB2312"/>
                <w:sz w:val="32"/>
                <w:szCs w:val="32"/>
                <w:lang w:val="en-US" w:eastAsia="zh-CN"/>
              </w:rPr>
            </w:pPr>
            <w:r>
              <w:rPr>
                <w:rFonts w:hint="eastAsia" w:ascii="仿宋_GB2312" w:eastAsia="仿宋_GB2312"/>
                <w:sz w:val="32"/>
                <w:szCs w:val="32"/>
                <w:lang w:val="en-US" w:eastAsia="zh-CN"/>
              </w:rPr>
              <w:t>27</w:t>
            </w:r>
          </w:p>
        </w:tc>
        <w:tc>
          <w:tcPr>
            <w:tcW w:w="7938" w:type="dxa"/>
            <w:vAlign w:val="center"/>
          </w:tcPr>
          <w:p>
            <w:pPr>
              <w:spacing w:line="600" w:lineRule="exact"/>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建议制定公平合理的收费标准。结合各省市地区经济发展水平的不同,有针对性的制定不同的鉴证类业务收费标准,对于明显低于收费标准或审计成本的采取一定的监管措施,在年度检查时作为重点检查对象;其次应完善企事业单位、政府机关选聘会计师事务所的相关机制,摒除以往以价格为首要考虑因素的机制，提高对事务所专业胜任能力和业界口碑等非价格因素的考虑。</w:t>
            </w:r>
          </w:p>
        </w:tc>
        <w:tc>
          <w:tcPr>
            <w:tcW w:w="1559" w:type="dxa"/>
            <w:vAlign w:val="center"/>
          </w:tcPr>
          <w:p>
            <w:pPr>
              <w:spacing w:line="600" w:lineRule="exact"/>
              <w:jc w:val="both"/>
              <w:rPr>
                <w:rFonts w:hint="eastAsia" w:ascii="仿宋_GB2312" w:eastAsia="仿宋_GB2312"/>
                <w:sz w:val="32"/>
                <w:szCs w:val="32"/>
                <w:lang w:eastAsia="zh-CN"/>
              </w:rPr>
            </w:pPr>
          </w:p>
          <w:p>
            <w:pPr>
              <w:spacing w:line="600" w:lineRule="exact"/>
              <w:jc w:val="center"/>
              <w:rPr>
                <w:rFonts w:hint="eastAsia" w:ascii="仿宋_GB2312" w:eastAsia="仿宋_GB2312"/>
                <w:sz w:val="32"/>
                <w:szCs w:val="32"/>
                <w:lang w:eastAsia="zh-CN"/>
              </w:rPr>
            </w:pPr>
            <w:r>
              <w:rPr>
                <w:rFonts w:hint="eastAsia" w:ascii="仿宋_GB2312" w:eastAsia="仿宋_GB2312"/>
                <w:sz w:val="32"/>
                <w:szCs w:val="32"/>
                <w:lang w:eastAsia="zh-CN"/>
              </w:rPr>
              <w:t>绍兴市</w:t>
            </w:r>
          </w:p>
          <w:p>
            <w:pPr>
              <w:spacing w:line="600" w:lineRule="exact"/>
              <w:jc w:val="center"/>
              <w:rPr>
                <w:rFonts w:hint="eastAsia" w:ascii="仿宋_GB2312" w:eastAsia="仿宋_GB2312"/>
                <w:sz w:val="32"/>
                <w:szCs w:val="32"/>
                <w:lang w:eastAsia="zh-CN"/>
              </w:rPr>
            </w:pPr>
            <w:r>
              <w:rPr>
                <w:rFonts w:hint="eastAsia" w:ascii="仿宋_GB2312" w:eastAsia="仿宋_GB2312"/>
                <w:sz w:val="32"/>
                <w:szCs w:val="32"/>
                <w:lang w:eastAsia="zh-CN"/>
              </w:rPr>
              <w:t>财政局</w:t>
            </w:r>
          </w:p>
        </w:tc>
        <w:tc>
          <w:tcPr>
            <w:tcW w:w="3860" w:type="dxa"/>
            <w:vAlign w:val="center"/>
          </w:tcPr>
          <w:p>
            <w:pPr>
              <w:spacing w:line="600" w:lineRule="exact"/>
              <w:jc w:val="left"/>
              <w:rPr>
                <w:rFonts w:hint="eastAsia" w:ascii="仿宋_GB2312" w:eastAsia="仿宋_GB2312"/>
                <w:sz w:val="32"/>
                <w:szCs w:val="32"/>
                <w:lang w:eastAsia="zh-CN"/>
              </w:rPr>
            </w:pPr>
            <w:r>
              <w:rPr>
                <w:rFonts w:hint="eastAsia" w:ascii="仿宋_GB2312" w:eastAsia="仿宋_GB2312"/>
                <w:sz w:val="32"/>
                <w:szCs w:val="32"/>
                <w:lang w:val="en-US" w:eastAsia="zh-CN"/>
              </w:rPr>
              <w:t>未采纳。1.根据相关文件，会计师事务所服务价格已于2014年放开完全市场化，现审计收费由事务所与审计委托方双方协商确定 ；2.</w:t>
            </w:r>
            <w:r>
              <w:rPr>
                <w:rFonts w:hint="eastAsia" w:ascii="仿宋_GB2312" w:eastAsia="仿宋_GB2312"/>
                <w:sz w:val="32"/>
                <w:szCs w:val="32"/>
                <w:lang w:eastAsia="zh-CN"/>
              </w:rPr>
              <w:t>财政部正在酝酿制定《国有企业、上市公司选聘会计师事务所管理办法》，届时按新办法执行。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Align w:val="center"/>
          </w:tcPr>
          <w:p>
            <w:pPr>
              <w:spacing w:line="600" w:lineRule="exact"/>
              <w:jc w:val="center"/>
              <w:rPr>
                <w:rFonts w:hint="default" w:ascii="仿宋_GB2312" w:eastAsia="仿宋_GB2312"/>
                <w:sz w:val="32"/>
                <w:szCs w:val="32"/>
                <w:lang w:val="en-US" w:eastAsia="zh-CN"/>
              </w:rPr>
            </w:pPr>
            <w:r>
              <w:rPr>
                <w:rFonts w:hint="eastAsia" w:ascii="仿宋_GB2312" w:eastAsia="仿宋_GB2312"/>
                <w:sz w:val="32"/>
                <w:szCs w:val="32"/>
                <w:lang w:val="en-US" w:eastAsia="zh-CN"/>
              </w:rPr>
              <w:t>28</w:t>
            </w:r>
          </w:p>
        </w:tc>
        <w:tc>
          <w:tcPr>
            <w:tcW w:w="7938" w:type="dxa"/>
            <w:vAlign w:val="center"/>
          </w:tcPr>
          <w:p>
            <w:pPr>
              <w:spacing w:line="600" w:lineRule="exact"/>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建议从源头上规范企业会计行为，抓紧修订《会计法》，加大财务造假处罚力度。</w:t>
            </w:r>
          </w:p>
        </w:tc>
        <w:tc>
          <w:tcPr>
            <w:tcW w:w="1559" w:type="dxa"/>
            <w:vAlign w:val="center"/>
          </w:tcPr>
          <w:p>
            <w:pPr>
              <w:spacing w:line="600" w:lineRule="exact"/>
              <w:jc w:val="center"/>
              <w:rPr>
                <w:rFonts w:hint="eastAsia" w:ascii="仿宋_GB2312" w:eastAsia="仿宋_GB2312"/>
                <w:sz w:val="32"/>
                <w:szCs w:val="32"/>
                <w:lang w:eastAsia="zh-CN"/>
              </w:rPr>
            </w:pPr>
            <w:r>
              <w:rPr>
                <w:rFonts w:hint="eastAsia" w:ascii="仿宋_GB2312" w:eastAsia="仿宋_GB2312"/>
                <w:sz w:val="32"/>
                <w:szCs w:val="32"/>
                <w:lang w:eastAsia="zh-CN"/>
              </w:rPr>
              <w:t>台州市</w:t>
            </w:r>
          </w:p>
          <w:p>
            <w:pPr>
              <w:spacing w:line="600" w:lineRule="exact"/>
              <w:jc w:val="center"/>
              <w:rPr>
                <w:rFonts w:hint="eastAsia" w:ascii="仿宋_GB2312" w:eastAsia="仿宋_GB2312"/>
                <w:sz w:val="32"/>
                <w:szCs w:val="32"/>
                <w:lang w:eastAsia="zh-CN"/>
              </w:rPr>
            </w:pPr>
            <w:r>
              <w:rPr>
                <w:rFonts w:hint="eastAsia" w:ascii="仿宋_GB2312" w:eastAsia="仿宋_GB2312"/>
                <w:sz w:val="32"/>
                <w:szCs w:val="32"/>
                <w:lang w:eastAsia="zh-CN"/>
              </w:rPr>
              <w:t>财政局</w:t>
            </w:r>
          </w:p>
        </w:tc>
        <w:tc>
          <w:tcPr>
            <w:tcW w:w="3860" w:type="dxa"/>
            <w:vAlign w:val="center"/>
          </w:tcPr>
          <w:p>
            <w:pPr>
              <w:spacing w:line="600" w:lineRule="exact"/>
              <w:jc w:val="left"/>
              <w:rPr>
                <w:rFonts w:hint="eastAsia" w:ascii="仿宋_GB2312" w:eastAsia="仿宋_GB2312"/>
                <w:sz w:val="32"/>
                <w:szCs w:val="32"/>
                <w:lang w:eastAsia="zh-CN"/>
              </w:rPr>
            </w:pPr>
            <w:r>
              <w:rPr>
                <w:rFonts w:hint="eastAsia" w:ascii="仿宋_GB2312" w:eastAsia="仿宋_GB2312"/>
                <w:sz w:val="32"/>
                <w:szCs w:val="32"/>
                <w:lang w:eastAsia="zh-CN"/>
              </w:rPr>
              <w:t>未采纳。涉及《会计法》修订，省级财政部门无权限。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Align w:val="center"/>
          </w:tcPr>
          <w:p>
            <w:pPr>
              <w:spacing w:line="600" w:lineRule="exact"/>
              <w:jc w:val="center"/>
              <w:rPr>
                <w:rFonts w:hint="default" w:ascii="仿宋_GB2312" w:eastAsia="仿宋_GB2312"/>
                <w:sz w:val="32"/>
                <w:szCs w:val="32"/>
                <w:lang w:val="en-US" w:eastAsia="zh-CN"/>
              </w:rPr>
            </w:pPr>
            <w:r>
              <w:rPr>
                <w:rFonts w:hint="eastAsia" w:ascii="仿宋_GB2312" w:eastAsia="仿宋_GB2312"/>
                <w:sz w:val="32"/>
                <w:szCs w:val="32"/>
                <w:lang w:val="en-US" w:eastAsia="zh-CN"/>
              </w:rPr>
              <w:t>29</w:t>
            </w:r>
          </w:p>
        </w:tc>
        <w:tc>
          <w:tcPr>
            <w:tcW w:w="7938" w:type="dxa"/>
            <w:vAlign w:val="center"/>
          </w:tcPr>
          <w:p>
            <w:pPr>
              <w:spacing w:line="600" w:lineRule="exact"/>
              <w:jc w:val="both"/>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建议明确设区市注册会计师协会法律地位，或者明确由省注册会计师协会在设区市设立办事处（或派出机构）。</w:t>
            </w:r>
          </w:p>
        </w:tc>
        <w:tc>
          <w:tcPr>
            <w:tcW w:w="1559" w:type="dxa"/>
            <w:vAlign w:val="center"/>
          </w:tcPr>
          <w:p>
            <w:pPr>
              <w:spacing w:line="600" w:lineRule="exact"/>
              <w:jc w:val="center"/>
              <w:rPr>
                <w:rFonts w:hint="eastAsia" w:ascii="仿宋_GB2312" w:eastAsia="仿宋_GB2312"/>
                <w:sz w:val="32"/>
                <w:szCs w:val="32"/>
                <w:lang w:eastAsia="zh-CN"/>
              </w:rPr>
            </w:pPr>
            <w:r>
              <w:rPr>
                <w:rFonts w:hint="eastAsia" w:ascii="仿宋_GB2312" w:eastAsia="仿宋_GB2312"/>
                <w:sz w:val="32"/>
                <w:szCs w:val="32"/>
                <w:lang w:eastAsia="zh-CN"/>
              </w:rPr>
              <w:t>舟山市</w:t>
            </w:r>
          </w:p>
          <w:p>
            <w:pPr>
              <w:spacing w:line="600" w:lineRule="exact"/>
              <w:jc w:val="center"/>
              <w:rPr>
                <w:rFonts w:hint="eastAsia" w:ascii="仿宋_GB2312" w:eastAsia="仿宋_GB2312"/>
                <w:sz w:val="32"/>
                <w:szCs w:val="32"/>
                <w:lang w:eastAsia="zh-CN"/>
              </w:rPr>
            </w:pPr>
            <w:r>
              <w:rPr>
                <w:rFonts w:hint="eastAsia" w:ascii="仿宋_GB2312" w:eastAsia="仿宋_GB2312"/>
                <w:sz w:val="32"/>
                <w:szCs w:val="32"/>
                <w:lang w:eastAsia="zh-CN"/>
              </w:rPr>
              <w:t>财政局</w:t>
            </w:r>
          </w:p>
        </w:tc>
        <w:tc>
          <w:tcPr>
            <w:tcW w:w="3860" w:type="dxa"/>
            <w:vAlign w:val="center"/>
          </w:tcPr>
          <w:p>
            <w:pPr>
              <w:keepNext w:val="0"/>
              <w:keepLines w:val="0"/>
              <w:widowControl/>
              <w:suppressLineNumbers w:val="0"/>
              <w:jc w:val="left"/>
              <w:rPr>
                <w:rFonts w:hint="eastAsia" w:ascii="仿宋_GB2312" w:eastAsia="仿宋_GB2312"/>
                <w:sz w:val="32"/>
                <w:szCs w:val="32"/>
                <w:lang w:eastAsia="zh-CN"/>
              </w:rPr>
            </w:pPr>
            <w:r>
              <w:rPr>
                <w:rFonts w:hint="eastAsia" w:ascii="仿宋_GB2312" w:eastAsia="仿宋_GB2312"/>
                <w:sz w:val="32"/>
                <w:szCs w:val="32"/>
                <w:lang w:eastAsia="zh-CN"/>
              </w:rPr>
              <w:t>未采纳。</w:t>
            </w:r>
            <w:r>
              <w:rPr>
                <w:rFonts w:hint="eastAsia" w:ascii="仿宋_GB2312" w:eastAsia="仿宋_GB2312"/>
                <w:sz w:val="32"/>
                <w:szCs w:val="32"/>
                <w:lang w:val="en-US" w:eastAsia="zh-CN"/>
              </w:rPr>
              <w:t>涉及《注册会计师法》修改，省级财政部门无权限。</w:t>
            </w:r>
          </w:p>
        </w:tc>
      </w:tr>
    </w:tbl>
    <w:p/>
    <w:p/>
    <w:p/>
    <w:bookmarkEnd w:id="0"/>
    <w:sectPr>
      <w:pgSz w:w="16838" w:h="11906" w:orient="landscape"/>
      <w:pgMar w:top="1803" w:right="1440" w:bottom="1803" w:left="1440" w:header="851" w:footer="992" w:gutter="0"/>
      <w:cols w:space="72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Helvetica">
    <w:altName w:val="Arial"/>
    <w:panose1 w:val="00000000000000000000"/>
    <w:charset w:val="00"/>
    <w:family w:val="swiss"/>
    <w:pitch w:val="default"/>
    <w:sig w:usb0="00000000" w:usb1="00000000" w:usb2="00000000"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BAE4BD0"/>
    <w:rsid w:val="3BAE4B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note text"/>
    <w:basedOn w:val="1"/>
    <w:uiPriority w:val="0"/>
    <w:pPr>
      <w:snapToGrid w:val="0"/>
      <w:jc w:val="left"/>
    </w:pPr>
    <w:rPr>
      <w:rFonts w:ascii="Times New Roman" w:hAnsi="Times New Roman" w:eastAsia="宋体" w:cs="Times New Roman"/>
      <w:sz w:val="18"/>
      <w:szCs w:val="18"/>
    </w:rPr>
  </w:style>
  <w:style w:type="table" w:styleId="5">
    <w:name w:val="Table Grid"/>
    <w:basedOn w:val="4"/>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2022-06-01T02:39:00Z</dcterms:created>
  <dc:creator>张志华</dc:creator>
  <cp:lastModifiedBy>张志华</cp:lastModifiedBy>
  <dcterms:modified xsi:type="dcterms:W3CDTF">2022-06-01T02:44:06Z</dcterms:modified>
  <dc:title>《关于进一步规范财务审计秩序 促进注册会计师行业健康发展的实施意见》征求部门意见及采纳情况说明</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