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lang w:val="en-US" w:eastAsia="zh-CN"/>
        </w:rPr>
      </w:pPr>
    </w:p>
    <w:p>
      <w:pPr>
        <w:rPr>
          <w:rFonts w:hint="eastAsia"/>
          <w:lang w:val="en-US" w:eastAsia="zh-CN"/>
        </w:rPr>
      </w:pPr>
    </w:p>
    <w:p>
      <w:pPr>
        <w:spacing w:before="0" w:beforeLines="0" w:line="600" w:lineRule="exact"/>
        <w:jc w:val="center"/>
        <w:rPr>
          <w:rFonts w:hint="eastAsia" w:ascii="方正小标宋简体" w:hAnsi="方正小标宋简体" w:eastAsia="方正小标宋简体" w:cs="方正小标宋简体"/>
          <w:b w:val="0"/>
          <w:bCs w:val="0"/>
          <w:sz w:val="44"/>
          <w:szCs w:val="44"/>
          <w:lang w:val="en-US" w:eastAsia="zh-CN"/>
        </w:rPr>
      </w:pPr>
      <w:bookmarkStart w:id="0" w:name="_GoBack"/>
      <w:r>
        <w:rPr>
          <w:rFonts w:hint="eastAsia" w:ascii="方正小标宋简体" w:hAnsi="方正小标宋简体" w:eastAsia="方正小标宋简体" w:cs="方正小标宋简体"/>
          <w:b w:val="0"/>
          <w:bCs w:val="0"/>
          <w:sz w:val="44"/>
          <w:szCs w:val="44"/>
          <w:lang w:val="en-US" w:eastAsia="zh-CN"/>
        </w:rPr>
        <w:t>征求部门意见及采纳情况说明</w:t>
      </w:r>
    </w:p>
    <w:bookmarkEnd w:id="0"/>
    <w:p>
      <w:pPr>
        <w:spacing w:before="0" w:beforeLines="0" w:line="600" w:lineRule="exact"/>
        <w:jc w:val="center"/>
        <w:rPr>
          <w:rFonts w:hint="eastAsia" w:ascii="宋体" w:hAnsi="宋体" w:eastAsia="宋体" w:cs="宋体"/>
          <w:b/>
          <w:bCs/>
          <w:sz w:val="44"/>
          <w:szCs w:val="44"/>
          <w:lang w:val="en-US" w:eastAsia="zh-CN"/>
        </w:rPr>
      </w:pPr>
      <w:r>
        <w:rPr>
          <w:rFonts w:hint="eastAsia" w:ascii="仿宋_GB2312" w:hAnsi="仿宋_GB2312" w:eastAsia="仿宋_GB2312" w:cs="仿宋_GB2312"/>
          <w:sz w:val="32"/>
          <w:szCs w:val="32"/>
          <w:lang w:val="en-US" w:eastAsia="zh-CN"/>
        </w:rPr>
        <w:t xml:space="preserve">  </w:t>
      </w:r>
    </w:p>
    <w:p>
      <w:pPr>
        <w:spacing w:before="0" w:beforeLines="0" w:line="60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浙江省2021—2022年度政府集中采购目录及标准（征求意见稿）》于2020年9月22日起以书面形式征求各市财政局、省级有关单位和浙江省政府采购联合会意见，现已全部反馈，其中各市财政局反馈意见已经该市政府同意。并于2020年10月19日至10月28日在浙江省财政厅门户网站主动公开征求意见7个工作日，未收到意见反馈。对不予采纳的意见，均向意见提出单位进行了说明并沟通一致。征求意见情况汇总表见下表：</w:t>
      </w:r>
    </w:p>
    <w:p>
      <w:pPr>
        <w:jc w:val="center"/>
        <w:rPr>
          <w:rFonts w:hint="eastAsia" w:ascii="仿宋_GB2312" w:hAnsi="仿宋_GB2312" w:eastAsia="仿宋_GB2312" w:cs="仿宋_GB2312"/>
          <w:sz w:val="32"/>
          <w:szCs w:val="32"/>
          <w:lang w:val="en-US" w:eastAsia="zh-CN"/>
        </w:rPr>
        <w:sectPr>
          <w:pgSz w:w="11906" w:h="16838"/>
          <w:pgMar w:top="1440" w:right="1803" w:bottom="1440" w:left="1803" w:header="851" w:footer="992" w:gutter="0"/>
          <w:cols w:space="720" w:num="1"/>
          <w:rtlGutter w:val="0"/>
          <w:docGrid w:type="lines" w:linePitch="319" w:charSpace="0"/>
        </w:sectPr>
      </w:pPr>
    </w:p>
    <w:p>
      <w:pPr>
        <w:adjustRightInd/>
        <w:spacing w:line="240" w:lineRule="auto"/>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征求意见情况汇总表</w:t>
      </w:r>
    </w:p>
    <w:tbl>
      <w:tblPr>
        <w:tblStyle w:val="3"/>
        <w:tblW w:w="14635" w:type="dxa"/>
        <w:jc w:val="center"/>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8"/>
        <w:gridCol w:w="3332"/>
        <w:gridCol w:w="2060"/>
        <w:gridCol w:w="5080"/>
        <w:gridCol w:w="1075"/>
        <w:gridCol w:w="10"/>
        <w:gridCol w:w="20"/>
        <w:gridCol w:w="1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748" w:type="dxa"/>
            <w:vAlign w:val="center"/>
          </w:tcPr>
          <w:p>
            <w:pPr>
              <w:spacing w:before="0" w:beforeLines="0" w:line="360" w:lineRule="exact"/>
              <w:jc w:val="both"/>
              <w:rPr>
                <w:rFonts w:hint="eastAsia" w:ascii="黑体" w:hAnsi="黑体" w:eastAsia="黑体" w:cs="黑体"/>
                <w:b w:val="0"/>
                <w:bCs w:val="0"/>
                <w:sz w:val="28"/>
                <w:szCs w:val="28"/>
              </w:rPr>
            </w:pPr>
            <w:r>
              <w:rPr>
                <w:rFonts w:hint="eastAsia" w:ascii="黑体" w:hAnsi="黑体" w:eastAsia="黑体" w:cs="黑体"/>
                <w:b w:val="0"/>
                <w:bCs w:val="0"/>
                <w:sz w:val="28"/>
                <w:szCs w:val="28"/>
              </w:rPr>
              <w:t>单位</w:t>
            </w:r>
          </w:p>
        </w:tc>
        <w:tc>
          <w:tcPr>
            <w:tcW w:w="3332" w:type="dxa"/>
            <w:vAlign w:val="center"/>
          </w:tcPr>
          <w:p>
            <w:pPr>
              <w:spacing w:before="0" w:beforeLines="0" w:line="360" w:lineRule="exact"/>
              <w:jc w:val="both"/>
              <w:rPr>
                <w:rFonts w:hint="eastAsia" w:ascii="黑体" w:hAnsi="黑体" w:eastAsia="黑体" w:cs="黑体"/>
                <w:b w:val="0"/>
                <w:bCs w:val="0"/>
                <w:sz w:val="28"/>
                <w:szCs w:val="28"/>
              </w:rPr>
            </w:pPr>
            <w:r>
              <w:rPr>
                <w:rFonts w:hint="eastAsia" w:ascii="黑体" w:hAnsi="黑体" w:eastAsia="黑体" w:cs="黑体"/>
                <w:b w:val="0"/>
                <w:bCs w:val="0"/>
                <w:sz w:val="28"/>
                <w:szCs w:val="28"/>
              </w:rPr>
              <w:t>反馈意见</w:t>
            </w:r>
          </w:p>
        </w:tc>
        <w:tc>
          <w:tcPr>
            <w:tcW w:w="2060" w:type="dxa"/>
            <w:vAlign w:val="center"/>
          </w:tcPr>
          <w:p>
            <w:pPr>
              <w:spacing w:before="0" w:beforeLines="0" w:line="360" w:lineRule="exact"/>
              <w:jc w:val="both"/>
              <w:rPr>
                <w:rFonts w:hint="eastAsia" w:ascii="黑体" w:hAnsi="黑体" w:eastAsia="黑体" w:cs="黑体"/>
                <w:b w:val="0"/>
                <w:bCs w:val="0"/>
                <w:sz w:val="28"/>
                <w:szCs w:val="28"/>
              </w:rPr>
            </w:pPr>
            <w:r>
              <w:rPr>
                <w:rFonts w:hint="eastAsia" w:ascii="黑体" w:hAnsi="黑体" w:eastAsia="黑体" w:cs="黑体"/>
                <w:b w:val="0"/>
                <w:bCs w:val="0"/>
                <w:sz w:val="28"/>
                <w:szCs w:val="28"/>
              </w:rPr>
              <w:t>起草单位</w:t>
            </w:r>
          </w:p>
          <w:p>
            <w:pPr>
              <w:spacing w:before="0" w:beforeLines="0" w:line="360" w:lineRule="exact"/>
              <w:jc w:val="both"/>
              <w:rPr>
                <w:rFonts w:hint="eastAsia" w:ascii="黑体" w:hAnsi="黑体" w:eastAsia="黑体" w:cs="黑体"/>
                <w:b w:val="0"/>
                <w:bCs w:val="0"/>
                <w:sz w:val="28"/>
                <w:szCs w:val="28"/>
              </w:rPr>
            </w:pPr>
            <w:r>
              <w:rPr>
                <w:rFonts w:hint="eastAsia" w:ascii="黑体" w:hAnsi="黑体" w:eastAsia="黑体" w:cs="黑体"/>
                <w:b w:val="0"/>
                <w:bCs w:val="0"/>
                <w:sz w:val="28"/>
                <w:szCs w:val="28"/>
              </w:rPr>
              <w:t>采纳情况</w:t>
            </w:r>
          </w:p>
        </w:tc>
        <w:tc>
          <w:tcPr>
            <w:tcW w:w="5080" w:type="dxa"/>
            <w:vAlign w:val="center"/>
          </w:tcPr>
          <w:p>
            <w:pPr>
              <w:spacing w:before="0" w:beforeLines="0" w:line="360" w:lineRule="exact"/>
              <w:jc w:val="both"/>
              <w:rPr>
                <w:rFonts w:hint="eastAsia" w:ascii="黑体" w:hAnsi="黑体" w:eastAsia="黑体" w:cs="黑体"/>
                <w:b w:val="0"/>
                <w:bCs w:val="0"/>
                <w:sz w:val="28"/>
                <w:szCs w:val="28"/>
              </w:rPr>
            </w:pPr>
            <w:r>
              <w:rPr>
                <w:rFonts w:hint="eastAsia" w:ascii="黑体" w:hAnsi="黑体" w:eastAsia="黑体" w:cs="黑体"/>
                <w:b w:val="0"/>
                <w:bCs w:val="0"/>
                <w:sz w:val="28"/>
                <w:szCs w:val="28"/>
              </w:rPr>
              <w:t>原因说明</w:t>
            </w:r>
          </w:p>
        </w:tc>
        <w:tc>
          <w:tcPr>
            <w:tcW w:w="1105" w:type="dxa"/>
            <w:gridSpan w:val="3"/>
            <w:vAlign w:val="center"/>
          </w:tcPr>
          <w:p>
            <w:pPr>
              <w:spacing w:before="0" w:beforeLines="0" w:line="360" w:lineRule="exact"/>
              <w:jc w:val="center"/>
              <w:rPr>
                <w:rFonts w:hint="eastAsia" w:ascii="黑体" w:hAnsi="黑体" w:eastAsia="黑体" w:cs="黑体"/>
                <w:b w:val="0"/>
                <w:bCs w:val="0"/>
                <w:sz w:val="28"/>
                <w:szCs w:val="28"/>
              </w:rPr>
            </w:pPr>
            <w:r>
              <w:rPr>
                <w:rFonts w:hint="eastAsia" w:ascii="黑体" w:hAnsi="黑体" w:eastAsia="黑体" w:cs="黑体"/>
                <w:b w:val="0"/>
                <w:bCs w:val="0"/>
                <w:sz w:val="28"/>
                <w:szCs w:val="28"/>
              </w:rPr>
              <w:t>办文处意见采纳情况</w:t>
            </w:r>
          </w:p>
        </w:tc>
        <w:tc>
          <w:tcPr>
            <w:tcW w:w="1310" w:type="dxa"/>
            <w:vAlign w:val="center"/>
          </w:tcPr>
          <w:p>
            <w:pPr>
              <w:spacing w:before="0" w:beforeLines="0" w:line="360" w:lineRule="exact"/>
              <w:jc w:val="center"/>
              <w:rPr>
                <w:rFonts w:hint="eastAsia" w:ascii="黑体" w:hAnsi="黑体" w:eastAsia="黑体" w:cs="黑体"/>
                <w:b w:val="0"/>
                <w:bCs w:val="0"/>
                <w:sz w:val="28"/>
                <w:szCs w:val="28"/>
              </w:rPr>
            </w:pPr>
            <w:r>
              <w:rPr>
                <w:rFonts w:hint="eastAsia" w:ascii="黑体" w:hAnsi="黑体" w:eastAsia="黑体" w:cs="黑体"/>
                <w:b w:val="0"/>
                <w:bCs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4635" w:type="dxa"/>
            <w:gridSpan w:val="8"/>
            <w:vAlign w:val="center"/>
          </w:tcPr>
          <w:p>
            <w:pPr>
              <w:spacing w:before="0" w:beforeLines="0" w:line="360" w:lineRule="exact"/>
              <w:jc w:val="center"/>
              <w:rPr>
                <w:rFonts w:hint="eastAsia" w:ascii="仿宋_GB2312" w:hAnsi="仿宋_GB2312" w:eastAsia="仿宋_GB2312" w:cs="仿宋_GB2312"/>
                <w:b/>
                <w:bCs/>
                <w:sz w:val="28"/>
                <w:szCs w:val="28"/>
                <w:lang w:val="en-US" w:eastAsia="zh-CN"/>
              </w:rPr>
            </w:pPr>
            <w:r>
              <w:rPr>
                <w:rFonts w:hint="eastAsia" w:ascii="黑体" w:hAnsi="黑体" w:eastAsia="黑体" w:cs="黑体"/>
                <w:b w:val="0"/>
                <w:bCs w:val="0"/>
                <w:sz w:val="28"/>
                <w:szCs w:val="28"/>
                <w:lang w:val="en-US" w:eastAsia="zh-CN"/>
              </w:rPr>
              <w:t>一、省级有关单位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5" w:hRule="atLeast"/>
          <w:jc w:val="center"/>
        </w:trPr>
        <w:tc>
          <w:tcPr>
            <w:tcW w:w="1748" w:type="dxa"/>
            <w:vAlign w:val="center"/>
          </w:tcPr>
          <w:p>
            <w:pPr>
              <w:spacing w:before="0" w:beforeLines="0" w:line="360" w:lineRule="exact"/>
              <w:jc w:val="both"/>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省发展改革委</w:t>
            </w:r>
          </w:p>
        </w:tc>
        <w:tc>
          <w:tcPr>
            <w:tcW w:w="3332" w:type="dxa"/>
            <w:vAlign w:val="center"/>
          </w:tcPr>
          <w:p>
            <w:pPr>
              <w:spacing w:before="0" w:beforeLines="0" w:line="360" w:lineRule="exact"/>
              <w:jc w:val="both"/>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1.建议车辆加油服务不纳入政府集中采购目录。2.建议省内培训服务纳入政府集中采购目录</w:t>
            </w:r>
          </w:p>
        </w:tc>
        <w:tc>
          <w:tcPr>
            <w:tcW w:w="2060" w:type="dxa"/>
            <w:vAlign w:val="center"/>
          </w:tcPr>
          <w:p>
            <w:pPr>
              <w:spacing w:before="0" w:beforeLines="0" w:line="360" w:lineRule="exact"/>
              <w:jc w:val="both"/>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拟不采纳</w:t>
            </w:r>
          </w:p>
        </w:tc>
        <w:tc>
          <w:tcPr>
            <w:tcW w:w="5080" w:type="dxa"/>
            <w:vAlign w:val="center"/>
          </w:tcPr>
          <w:p>
            <w:pPr>
              <w:spacing w:before="0" w:beforeLines="0" w:line="360" w:lineRule="exact"/>
              <w:ind w:firstLine="480" w:firstLineChars="200"/>
              <w:jc w:val="both"/>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1.拟不采纳第1条意见的理由：《财政部关于印发&lt;地方预算单位政府集中采购目录及标准指引（2020年版）&gt;的通知》（财库〔2019〕19号，以下简称《地方目录及标准指引））规定地方应将车辆加油服务纳入政府集中采购目录。2.拟不采购第2条意见的理由：《地方目录及标准指引》未规定培训服务必须纳入政府集中采购目录；培训服务有支出标准限制，不纳入集中采购目录有利于预算单位在财政支出标准内灵活决定培训方式和地点，有利于促进政府培训市场的竞争，符合“放管服”改革精神和营造公平竞争的政府采购营商环境的要求；会议服务虽然具有培训服务的上述特点，但财政部《党政机关会议定点管理办法》（财行〔2015〕1号）规定会议服务应实行定点管理，目前中央和地方的通行做法是对部分集中采购项目实行定点管理，因此将会议服务纳入集中采购目录</w:t>
            </w:r>
          </w:p>
        </w:tc>
        <w:tc>
          <w:tcPr>
            <w:tcW w:w="1085" w:type="dxa"/>
            <w:gridSpan w:val="2"/>
            <w:vAlign w:val="center"/>
          </w:tcPr>
          <w:p>
            <w:pPr>
              <w:spacing w:before="0" w:beforeLines="0" w:line="360" w:lineRule="exact"/>
              <w:jc w:val="left"/>
              <w:rPr>
                <w:rFonts w:hint="eastAsia" w:ascii="仿宋_GB2312" w:hAnsi="仿宋_GB2312" w:eastAsia="仿宋_GB2312" w:cs="仿宋_GB2312"/>
                <w:b w:val="0"/>
                <w:bCs w:val="0"/>
                <w:sz w:val="24"/>
                <w:szCs w:val="24"/>
              </w:rPr>
            </w:pPr>
          </w:p>
        </w:tc>
        <w:tc>
          <w:tcPr>
            <w:tcW w:w="1330" w:type="dxa"/>
            <w:gridSpan w:val="2"/>
            <w:vAlign w:val="center"/>
          </w:tcPr>
          <w:p>
            <w:pPr>
              <w:spacing w:before="0" w:beforeLines="0" w:line="360" w:lineRule="exact"/>
              <w:jc w:val="left"/>
              <w:rPr>
                <w:rFonts w:hint="eastAsia" w:ascii="仿宋_GB2312" w:hAnsi="仿宋_GB2312" w:eastAsia="仿宋_GB2312" w:cs="仿宋_GB2312"/>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748" w:type="dxa"/>
            <w:vAlign w:val="center"/>
          </w:tcPr>
          <w:p>
            <w:pPr>
              <w:spacing w:before="0" w:beforeLines="0" w:line="360" w:lineRule="exact"/>
              <w:jc w:val="both"/>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省卫生健康委</w:t>
            </w:r>
          </w:p>
        </w:tc>
        <w:tc>
          <w:tcPr>
            <w:tcW w:w="3332" w:type="dxa"/>
            <w:vAlign w:val="center"/>
          </w:tcPr>
          <w:p>
            <w:pPr>
              <w:spacing w:before="0" w:beforeLines="0" w:line="360" w:lineRule="exact"/>
              <w:jc w:val="both"/>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无意见</w:t>
            </w:r>
          </w:p>
        </w:tc>
        <w:tc>
          <w:tcPr>
            <w:tcW w:w="2060" w:type="dxa"/>
            <w:vAlign w:val="center"/>
          </w:tcPr>
          <w:p>
            <w:pPr>
              <w:spacing w:before="0" w:beforeLines="0" w:line="360" w:lineRule="exact"/>
              <w:jc w:val="both"/>
              <w:rPr>
                <w:rFonts w:hint="eastAsia" w:ascii="仿宋_GB2312" w:hAnsi="仿宋_GB2312" w:eastAsia="仿宋_GB2312" w:cs="仿宋_GB2312"/>
                <w:b w:val="0"/>
                <w:bCs w:val="0"/>
                <w:sz w:val="24"/>
                <w:szCs w:val="24"/>
                <w:lang w:val="en-US" w:eastAsia="zh-CN"/>
              </w:rPr>
            </w:pPr>
          </w:p>
        </w:tc>
        <w:tc>
          <w:tcPr>
            <w:tcW w:w="5080" w:type="dxa"/>
            <w:vAlign w:val="center"/>
          </w:tcPr>
          <w:p>
            <w:pPr>
              <w:spacing w:before="0" w:beforeLines="0" w:line="360" w:lineRule="exact"/>
              <w:jc w:val="both"/>
              <w:rPr>
                <w:rFonts w:hint="eastAsia" w:ascii="仿宋_GB2312" w:hAnsi="仿宋_GB2312" w:eastAsia="仿宋_GB2312" w:cs="仿宋_GB2312"/>
                <w:b w:val="0"/>
                <w:bCs w:val="0"/>
                <w:sz w:val="24"/>
                <w:szCs w:val="24"/>
                <w:lang w:val="en-US" w:eastAsia="zh-CN"/>
              </w:rPr>
            </w:pPr>
          </w:p>
        </w:tc>
        <w:tc>
          <w:tcPr>
            <w:tcW w:w="1085" w:type="dxa"/>
            <w:gridSpan w:val="2"/>
            <w:vAlign w:val="center"/>
          </w:tcPr>
          <w:p>
            <w:pPr>
              <w:spacing w:before="0" w:beforeLines="0" w:line="360" w:lineRule="exact"/>
              <w:jc w:val="left"/>
              <w:rPr>
                <w:rFonts w:hint="eastAsia" w:ascii="仿宋_GB2312" w:hAnsi="仿宋_GB2312" w:eastAsia="仿宋_GB2312" w:cs="仿宋_GB2312"/>
                <w:b w:val="0"/>
                <w:bCs w:val="0"/>
                <w:sz w:val="24"/>
                <w:szCs w:val="24"/>
              </w:rPr>
            </w:pPr>
          </w:p>
        </w:tc>
        <w:tc>
          <w:tcPr>
            <w:tcW w:w="1330" w:type="dxa"/>
            <w:gridSpan w:val="2"/>
            <w:vAlign w:val="center"/>
          </w:tcPr>
          <w:p>
            <w:pPr>
              <w:spacing w:before="0" w:beforeLines="0" w:line="360" w:lineRule="exact"/>
              <w:jc w:val="left"/>
              <w:rPr>
                <w:rFonts w:hint="eastAsia" w:ascii="仿宋_GB2312" w:hAnsi="仿宋_GB2312" w:eastAsia="仿宋_GB2312" w:cs="仿宋_GB2312"/>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1748" w:type="dxa"/>
            <w:vAlign w:val="center"/>
          </w:tcPr>
          <w:p>
            <w:pPr>
              <w:spacing w:before="0" w:beforeLines="0" w:line="360" w:lineRule="exact"/>
              <w:jc w:val="both"/>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省教育厅</w:t>
            </w:r>
          </w:p>
        </w:tc>
        <w:tc>
          <w:tcPr>
            <w:tcW w:w="3332" w:type="dxa"/>
            <w:vAlign w:val="center"/>
          </w:tcPr>
          <w:p>
            <w:pPr>
              <w:spacing w:before="0" w:beforeLines="0" w:line="360" w:lineRule="exact"/>
              <w:jc w:val="both"/>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无意见</w:t>
            </w:r>
          </w:p>
        </w:tc>
        <w:tc>
          <w:tcPr>
            <w:tcW w:w="2060" w:type="dxa"/>
            <w:vAlign w:val="center"/>
          </w:tcPr>
          <w:p>
            <w:pPr>
              <w:spacing w:before="0" w:beforeLines="0" w:line="360" w:lineRule="exact"/>
              <w:jc w:val="both"/>
              <w:rPr>
                <w:rFonts w:hint="eastAsia" w:ascii="仿宋_GB2312" w:hAnsi="仿宋_GB2312" w:eastAsia="仿宋_GB2312" w:cs="仿宋_GB2312"/>
                <w:b w:val="0"/>
                <w:bCs w:val="0"/>
                <w:sz w:val="24"/>
                <w:szCs w:val="24"/>
                <w:lang w:val="en-US" w:eastAsia="zh-CN"/>
              </w:rPr>
            </w:pPr>
          </w:p>
        </w:tc>
        <w:tc>
          <w:tcPr>
            <w:tcW w:w="5080" w:type="dxa"/>
            <w:vAlign w:val="center"/>
          </w:tcPr>
          <w:p>
            <w:pPr>
              <w:spacing w:before="0" w:beforeLines="0" w:line="360" w:lineRule="exact"/>
              <w:jc w:val="both"/>
              <w:rPr>
                <w:rFonts w:hint="eastAsia" w:ascii="仿宋_GB2312" w:hAnsi="仿宋_GB2312" w:eastAsia="仿宋_GB2312" w:cs="仿宋_GB2312"/>
                <w:b w:val="0"/>
                <w:bCs w:val="0"/>
                <w:sz w:val="24"/>
                <w:szCs w:val="24"/>
              </w:rPr>
            </w:pPr>
          </w:p>
        </w:tc>
        <w:tc>
          <w:tcPr>
            <w:tcW w:w="1085" w:type="dxa"/>
            <w:gridSpan w:val="2"/>
            <w:vAlign w:val="center"/>
          </w:tcPr>
          <w:p>
            <w:pPr>
              <w:spacing w:before="0" w:beforeLines="0" w:line="360" w:lineRule="exact"/>
              <w:jc w:val="left"/>
              <w:rPr>
                <w:rFonts w:hint="eastAsia" w:ascii="仿宋_GB2312" w:hAnsi="仿宋_GB2312" w:eastAsia="仿宋_GB2312" w:cs="仿宋_GB2312"/>
                <w:b w:val="0"/>
                <w:bCs w:val="0"/>
                <w:sz w:val="24"/>
                <w:szCs w:val="24"/>
              </w:rPr>
            </w:pPr>
          </w:p>
        </w:tc>
        <w:tc>
          <w:tcPr>
            <w:tcW w:w="1330" w:type="dxa"/>
            <w:gridSpan w:val="2"/>
            <w:vAlign w:val="center"/>
          </w:tcPr>
          <w:p>
            <w:pPr>
              <w:spacing w:before="0" w:beforeLines="0" w:line="360" w:lineRule="exact"/>
              <w:jc w:val="left"/>
              <w:rPr>
                <w:rFonts w:hint="eastAsia" w:ascii="仿宋_GB2312" w:hAnsi="仿宋_GB2312" w:eastAsia="仿宋_GB2312" w:cs="仿宋_GB2312"/>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5" w:hRule="atLeast"/>
          <w:jc w:val="center"/>
        </w:trPr>
        <w:tc>
          <w:tcPr>
            <w:tcW w:w="1748" w:type="dxa"/>
            <w:vAlign w:val="center"/>
          </w:tcPr>
          <w:p>
            <w:pPr>
              <w:spacing w:before="0" w:beforeLines="0" w:line="360" w:lineRule="exact"/>
              <w:jc w:val="both"/>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省机关事务局</w:t>
            </w:r>
          </w:p>
        </w:tc>
        <w:tc>
          <w:tcPr>
            <w:tcW w:w="3332" w:type="dxa"/>
            <w:vAlign w:val="center"/>
          </w:tcPr>
          <w:p>
            <w:pPr>
              <w:spacing w:before="0" w:beforeLines="0" w:line="360" w:lineRule="exact"/>
              <w:jc w:val="both"/>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1.集中采购项目调整：建议增加专用车辆、信息技术服务，删除视频会议系统设备。2.建议增加以下内容：分散采购项目涉及金额较大，社会关注度高、与社会公共利益或公众安全关系密切的，鼓励采购人优先委托集中采购机构代理机构实施采购</w:t>
            </w:r>
          </w:p>
        </w:tc>
        <w:tc>
          <w:tcPr>
            <w:tcW w:w="2060" w:type="dxa"/>
            <w:vAlign w:val="center"/>
          </w:tcPr>
          <w:p>
            <w:pPr>
              <w:spacing w:before="0" w:beforeLines="0" w:line="360" w:lineRule="exact"/>
              <w:jc w:val="both"/>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拟不采纳第1条意见，采纳第2条意见</w:t>
            </w:r>
          </w:p>
        </w:tc>
        <w:tc>
          <w:tcPr>
            <w:tcW w:w="5080" w:type="dxa"/>
            <w:vAlign w:val="center"/>
          </w:tcPr>
          <w:p>
            <w:pPr>
              <w:spacing w:before="0" w:beforeLines="0" w:line="360" w:lineRule="exact"/>
              <w:ind w:firstLine="480" w:firstLineChars="200"/>
              <w:jc w:val="both"/>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拟不采纳第1条意见的理由：专用车辆是专用设备，不具备政府集中采购项目的通用性特征；信息技术服务是近年来各部门和单位频繁采购的服务项目，但各部门和单位采购的信息技术服务具有鲜明的部门业务特点，需求复杂，不具备政府集中采购项目的通用性特征；视频会议系统项目是浙江省传统的集中采购项目，且具有通用性特征，因此将其保留为集中采购项目</w:t>
            </w:r>
          </w:p>
        </w:tc>
        <w:tc>
          <w:tcPr>
            <w:tcW w:w="1085" w:type="dxa"/>
            <w:gridSpan w:val="2"/>
            <w:vAlign w:val="center"/>
          </w:tcPr>
          <w:p>
            <w:pPr>
              <w:spacing w:before="0" w:beforeLines="0" w:line="360" w:lineRule="exact"/>
              <w:jc w:val="left"/>
              <w:rPr>
                <w:rFonts w:hint="eastAsia" w:ascii="仿宋_GB2312" w:hAnsi="仿宋_GB2312" w:eastAsia="仿宋_GB2312" w:cs="仿宋_GB2312"/>
                <w:b w:val="0"/>
                <w:bCs w:val="0"/>
                <w:sz w:val="24"/>
                <w:szCs w:val="24"/>
              </w:rPr>
            </w:pPr>
          </w:p>
        </w:tc>
        <w:tc>
          <w:tcPr>
            <w:tcW w:w="1330" w:type="dxa"/>
            <w:gridSpan w:val="2"/>
            <w:vAlign w:val="center"/>
          </w:tcPr>
          <w:p>
            <w:pPr>
              <w:spacing w:before="0" w:beforeLines="0" w:line="360" w:lineRule="exact"/>
              <w:jc w:val="left"/>
              <w:rPr>
                <w:rFonts w:hint="eastAsia" w:ascii="仿宋_GB2312" w:hAnsi="仿宋_GB2312" w:eastAsia="仿宋_GB2312" w:cs="仿宋_GB2312"/>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14635" w:type="dxa"/>
            <w:gridSpan w:val="8"/>
            <w:vAlign w:val="center"/>
          </w:tcPr>
          <w:p>
            <w:pPr>
              <w:spacing w:before="0" w:beforeLines="0" w:line="360" w:lineRule="exact"/>
              <w:jc w:val="center"/>
              <w:rPr>
                <w:rFonts w:hint="eastAsia" w:ascii="仿宋_GB2312" w:hAnsi="仿宋_GB2312" w:eastAsia="仿宋_GB2312" w:cs="仿宋_GB2312"/>
                <w:b w:val="0"/>
                <w:bCs w:val="0"/>
                <w:sz w:val="24"/>
                <w:szCs w:val="24"/>
                <w:lang w:val="en-US" w:eastAsia="zh-CN"/>
              </w:rPr>
            </w:pPr>
            <w:r>
              <w:rPr>
                <w:rFonts w:hint="eastAsia" w:ascii="黑体" w:hAnsi="黑体" w:eastAsia="黑体" w:cs="黑体"/>
                <w:b w:val="0"/>
                <w:bCs w:val="0"/>
                <w:sz w:val="28"/>
                <w:szCs w:val="28"/>
                <w:lang w:val="en-US" w:eastAsia="zh-CN"/>
              </w:rPr>
              <w:t>二、各市财政局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1748" w:type="dxa"/>
            <w:vAlign w:val="center"/>
          </w:tcPr>
          <w:p>
            <w:pPr>
              <w:spacing w:before="0" w:beforeLines="0" w:line="360" w:lineRule="exact"/>
              <w:jc w:val="both"/>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杭州</w:t>
            </w:r>
          </w:p>
        </w:tc>
        <w:tc>
          <w:tcPr>
            <w:tcW w:w="3332" w:type="dxa"/>
            <w:vAlign w:val="center"/>
          </w:tcPr>
          <w:p>
            <w:pPr>
              <w:spacing w:before="0" w:beforeLines="0" w:line="360" w:lineRule="exact"/>
              <w:jc w:val="both"/>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无意见</w:t>
            </w:r>
          </w:p>
        </w:tc>
        <w:tc>
          <w:tcPr>
            <w:tcW w:w="2060" w:type="dxa"/>
            <w:vAlign w:val="center"/>
          </w:tcPr>
          <w:p>
            <w:pPr>
              <w:spacing w:before="0" w:beforeLines="0" w:line="360" w:lineRule="exact"/>
              <w:jc w:val="both"/>
              <w:rPr>
                <w:rFonts w:hint="eastAsia" w:ascii="仿宋_GB2312" w:hAnsi="仿宋_GB2312" w:eastAsia="仿宋_GB2312" w:cs="仿宋_GB2312"/>
                <w:b w:val="0"/>
                <w:bCs w:val="0"/>
                <w:sz w:val="24"/>
                <w:szCs w:val="24"/>
                <w:lang w:val="en-US" w:eastAsia="zh-CN"/>
              </w:rPr>
            </w:pPr>
          </w:p>
        </w:tc>
        <w:tc>
          <w:tcPr>
            <w:tcW w:w="5080" w:type="dxa"/>
            <w:vAlign w:val="center"/>
          </w:tcPr>
          <w:p>
            <w:pPr>
              <w:spacing w:before="0" w:beforeLines="0" w:line="360" w:lineRule="exact"/>
              <w:ind w:firstLine="432" w:firstLineChars="0"/>
              <w:jc w:val="both"/>
              <w:rPr>
                <w:rFonts w:hint="eastAsia" w:ascii="仿宋_GB2312" w:hAnsi="仿宋_GB2312" w:eastAsia="仿宋_GB2312" w:cs="仿宋_GB2312"/>
                <w:b w:val="0"/>
                <w:bCs w:val="0"/>
                <w:sz w:val="24"/>
                <w:szCs w:val="24"/>
                <w:lang w:val="en-US" w:eastAsia="zh-CN"/>
              </w:rPr>
            </w:pPr>
          </w:p>
        </w:tc>
        <w:tc>
          <w:tcPr>
            <w:tcW w:w="1075" w:type="dxa"/>
            <w:vAlign w:val="center"/>
          </w:tcPr>
          <w:p>
            <w:pPr>
              <w:spacing w:before="0" w:beforeLines="0" w:line="360" w:lineRule="exact"/>
              <w:jc w:val="left"/>
              <w:rPr>
                <w:rFonts w:hint="eastAsia" w:ascii="仿宋_GB2312" w:hAnsi="仿宋_GB2312" w:eastAsia="仿宋_GB2312" w:cs="仿宋_GB2312"/>
                <w:b w:val="0"/>
                <w:bCs w:val="0"/>
                <w:sz w:val="24"/>
                <w:szCs w:val="24"/>
              </w:rPr>
            </w:pPr>
          </w:p>
        </w:tc>
        <w:tc>
          <w:tcPr>
            <w:tcW w:w="1340" w:type="dxa"/>
            <w:gridSpan w:val="3"/>
            <w:vAlign w:val="center"/>
          </w:tcPr>
          <w:p>
            <w:pPr>
              <w:spacing w:before="0" w:beforeLines="0" w:line="360" w:lineRule="exact"/>
              <w:jc w:val="left"/>
              <w:rPr>
                <w:rFonts w:hint="eastAsia" w:ascii="仿宋_GB2312" w:hAnsi="仿宋_GB2312" w:eastAsia="仿宋_GB2312" w:cs="仿宋_GB2312"/>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48"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宁波</w:t>
            </w:r>
          </w:p>
        </w:tc>
        <w:tc>
          <w:tcPr>
            <w:tcW w:w="3332"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建议展览服务不纳入集采目录。2.建议将“单项或年度批量预算金额达到公开招标数额标准的，应当委托集中采购机构代理采购”修改为“单项或年度批量预算金额达到200万元及以上的，应当委托集中采购机构代理采购；200万元以下的，也可以委托集中采购机构代理采购”</w:t>
            </w:r>
          </w:p>
        </w:tc>
        <w:tc>
          <w:tcPr>
            <w:tcW w:w="2060"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拟采纳第1条意见，不采纳第2条意见</w:t>
            </w:r>
          </w:p>
        </w:tc>
        <w:tc>
          <w:tcPr>
            <w:tcW w:w="5080" w:type="dxa"/>
            <w:vAlign w:val="center"/>
          </w:tcPr>
          <w:p>
            <w:r>
              <w:rPr>
                <w:rFonts w:hint="eastAsia" w:ascii="仿宋_GB2312" w:hAnsi="仿宋_GB2312" w:eastAsia="仿宋_GB2312" w:cs="仿宋_GB2312"/>
                <w:sz w:val="24"/>
                <w:lang w:val="en-US" w:eastAsia="zh-CN"/>
              </w:rPr>
              <w:t>拟不采纳第2条意见的理由：《浙江省2021-2022年度政府集中采购目录及标准（送审稿）》已规定：“年度批量预算金额未达到分散采购限额标准的(即100万元以下的货物和服务项目），通过政采云平台电子卖场-网上超市、网上服务市场、行业馆或者主题馆进行采购。年度批量预算金额达到分散采购限额标准但未达到公开招标数额标准的（即采购金额在100万元至400万元之间的货物和服务项目），可以通过政采云平台电子卖场—在线询价、反向竞价系统以及网上服务市场、行业馆、主题馆进行竞价采购；也可以委托集中采购机构代理采购。单项或者年度批量预算金额达到公开招标数额标准的，应当委托集中采购机构代理采购”。</w:t>
            </w:r>
          </w:p>
          <w:p>
            <w:pPr>
              <w:numPr>
                <w:ilvl w:val="0"/>
                <w:numId w:val="0"/>
              </w:numPr>
              <w:spacing w:before="0" w:beforeLines="0" w:line="36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对于分散采购限额标准以下的集中采购项目，电子卖场已经完全能满足需求，因此鼓励单位通过电子卖场各功能模块进行采购，也有利于提高采购效率。分散采购限额标准以上的集中采购项目，预算单位均可以委托集中采购机构进行采购</w:t>
            </w:r>
          </w:p>
        </w:tc>
        <w:tc>
          <w:tcPr>
            <w:tcW w:w="1075" w:type="dxa"/>
            <w:vAlign w:val="top"/>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p>
        </w:tc>
        <w:tc>
          <w:tcPr>
            <w:tcW w:w="1340" w:type="dxa"/>
            <w:gridSpan w:val="3"/>
            <w:vAlign w:val="top"/>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48"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温州</w:t>
            </w:r>
          </w:p>
        </w:tc>
        <w:tc>
          <w:tcPr>
            <w:tcW w:w="3332"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建议在集采项目“家具用具”和“复印纸”后备注“单项或批量在10万元以上的家具用具和复印纸”。2.建议明确集采项目“一般会议服务”的定义和包含的具体内容，以及备注“在政府会议场所以外的会议定点场所（酒店、宾馆）或单项在1万元以上的一般会议服务</w:t>
            </w:r>
          </w:p>
        </w:tc>
        <w:tc>
          <w:tcPr>
            <w:tcW w:w="2060"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拟不采纳</w:t>
            </w:r>
          </w:p>
        </w:tc>
        <w:tc>
          <w:tcPr>
            <w:tcW w:w="5080" w:type="dxa"/>
            <w:vAlign w:val="center"/>
          </w:tcPr>
          <w:p>
            <w:pPr>
              <w:numPr>
                <w:ilvl w:val="0"/>
                <w:numId w:val="0"/>
              </w:numPr>
              <w:spacing w:before="0" w:beforeLines="0" w:line="360" w:lineRule="exact"/>
              <w:ind w:firstLine="480"/>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拟不采纳第1条意见的理由：分散采购限额标准以下的集中采购项目均可以通过政采云电子卖场—网上超市、行业馆、主题馆进行直接订购，电子卖场完全可以满足采购需求，不需要再对“家具用具”和“复印纸”设采购限额标准。</w:t>
            </w:r>
          </w:p>
          <w:p/>
          <w:p>
            <w:pPr>
              <w:numPr>
                <w:ilvl w:val="0"/>
                <w:numId w:val="0"/>
              </w:numPr>
              <w:spacing w:before="0" w:beforeLines="0" w:line="360" w:lineRule="exact"/>
              <w:ind w:firstLine="480"/>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拟不采纳第2条意见的理由：“一般会议”服务的定义和包含具体内容另由财政部和省里相关文件规定，此处无需再重复。备注拟采用</w:t>
            </w:r>
            <w:r>
              <w:rPr>
                <w:rFonts w:hint="eastAsia" w:ascii="仿宋_GB2312" w:hAnsi="仿宋_GB2312" w:eastAsia="仿宋_GB2312" w:cs="仿宋_GB2312"/>
                <w:b w:val="0"/>
                <w:bCs w:val="0"/>
                <w:sz w:val="24"/>
                <w:szCs w:val="24"/>
                <w:lang w:val="en-US" w:eastAsia="zh-CN"/>
              </w:rPr>
              <w:t>《党政机关会议定点管理办法》的相关例外表述，且会议服务均可以从定点单位采购，因此不</w:t>
            </w:r>
            <w:r>
              <w:rPr>
                <w:rFonts w:hint="eastAsia" w:ascii="仿宋_GB2312" w:hAnsi="仿宋_GB2312" w:eastAsia="仿宋_GB2312" w:cs="仿宋_GB2312"/>
                <w:sz w:val="24"/>
                <w:lang w:val="en-US" w:eastAsia="zh-CN"/>
              </w:rPr>
              <w:t>需要再对“一般会议”设采购限额标准</w:t>
            </w:r>
          </w:p>
        </w:tc>
        <w:tc>
          <w:tcPr>
            <w:tcW w:w="1075" w:type="dxa"/>
            <w:vAlign w:val="top"/>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p>
        </w:tc>
        <w:tc>
          <w:tcPr>
            <w:tcW w:w="1340" w:type="dxa"/>
            <w:gridSpan w:val="3"/>
            <w:vAlign w:val="top"/>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48"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湖州</w:t>
            </w:r>
          </w:p>
        </w:tc>
        <w:tc>
          <w:tcPr>
            <w:tcW w:w="3332"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无意见</w:t>
            </w:r>
          </w:p>
        </w:tc>
        <w:tc>
          <w:tcPr>
            <w:tcW w:w="2060"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p>
        </w:tc>
        <w:tc>
          <w:tcPr>
            <w:tcW w:w="5080"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p>
        </w:tc>
        <w:tc>
          <w:tcPr>
            <w:tcW w:w="1075" w:type="dxa"/>
            <w:vAlign w:val="top"/>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p>
        </w:tc>
        <w:tc>
          <w:tcPr>
            <w:tcW w:w="1340" w:type="dxa"/>
            <w:gridSpan w:val="3"/>
            <w:vAlign w:val="top"/>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48"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嘉兴</w:t>
            </w:r>
          </w:p>
        </w:tc>
        <w:tc>
          <w:tcPr>
            <w:tcW w:w="3332"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建议车辆加油服务不纳入集采目录。2.建议监督检查服务不纳入集采目录。3.建议将资产评估服务纳入集中采购目录。4.建议复印纸和碎纸机不纳入集采目录。5.建议1000万元以上涉及公共利益的重大民生项目委托集中采购机构代理</w:t>
            </w:r>
          </w:p>
        </w:tc>
        <w:tc>
          <w:tcPr>
            <w:tcW w:w="2060"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拟不采纳第1条和第4条意见，采纳第2条和第3条意见，部分采纳第5条意见</w:t>
            </w:r>
          </w:p>
        </w:tc>
        <w:tc>
          <w:tcPr>
            <w:tcW w:w="5080" w:type="dxa"/>
            <w:vAlign w:val="center"/>
          </w:tcPr>
          <w:p>
            <w:pPr>
              <w:numPr>
                <w:ilvl w:val="0"/>
                <w:numId w:val="0"/>
              </w:numPr>
              <w:spacing w:before="0" w:beforeLines="0" w:line="360" w:lineRule="exact"/>
              <w:ind w:firstLine="480"/>
              <w:jc w:val="both"/>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sz w:val="24"/>
                <w:lang w:val="en-US" w:eastAsia="zh-CN"/>
              </w:rPr>
              <w:t>拟不采纳第1条和第4条意见的理由：财政部</w:t>
            </w:r>
            <w:r>
              <w:rPr>
                <w:rFonts w:hint="eastAsia" w:ascii="仿宋_GB2312" w:hAnsi="仿宋_GB2312" w:eastAsia="仿宋_GB2312" w:cs="仿宋_GB2312"/>
                <w:b w:val="0"/>
                <w:bCs w:val="0"/>
                <w:sz w:val="24"/>
                <w:szCs w:val="24"/>
                <w:lang w:val="en-US" w:eastAsia="zh-CN"/>
              </w:rPr>
              <w:t>《地方目录及标准指引》规定地方应将车辆加油、复印纸和碎纸机纳入政府集中采购目录。</w:t>
            </w:r>
          </w:p>
          <w:p>
            <w:r>
              <w:rPr>
                <w:rFonts w:hint="eastAsia" w:ascii="仿宋_GB2312" w:hAnsi="仿宋_GB2312" w:eastAsia="仿宋_GB2312" w:cs="仿宋_GB2312"/>
                <w:b w:val="0"/>
                <w:bCs w:val="0"/>
                <w:sz w:val="24"/>
                <w:szCs w:val="24"/>
                <w:lang w:val="en-US" w:eastAsia="zh-CN"/>
              </w:rPr>
              <w:t>部分采纳第5条意见的理由：我们鼓励采购单位将采购金额大、社会关注度高，关系公共利益或社会安全的重大项目委托集中采购机构组织采购。但该类项目以项目性质而不是金额来划线，也不做强制性规定，避免限制集中采购机构与社会代理机构的竞争</w:t>
            </w:r>
          </w:p>
          <w:p>
            <w:pPr>
              <w:numPr>
                <w:ilvl w:val="0"/>
                <w:numId w:val="0"/>
              </w:numPr>
              <w:spacing w:before="0" w:beforeLines="0" w:line="360" w:lineRule="exact"/>
              <w:ind w:firstLine="480"/>
              <w:jc w:val="both"/>
              <w:rPr>
                <w:rFonts w:hint="eastAsia" w:ascii="仿宋_GB2312" w:hAnsi="仿宋_GB2312" w:eastAsia="仿宋_GB2312" w:cs="仿宋_GB2312"/>
                <w:b w:val="0"/>
                <w:bCs w:val="0"/>
                <w:sz w:val="24"/>
                <w:szCs w:val="24"/>
                <w:lang w:val="en-US" w:eastAsia="zh-CN"/>
              </w:rPr>
            </w:pPr>
          </w:p>
        </w:tc>
        <w:tc>
          <w:tcPr>
            <w:tcW w:w="1075" w:type="dxa"/>
            <w:vAlign w:val="top"/>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p>
        </w:tc>
        <w:tc>
          <w:tcPr>
            <w:tcW w:w="1340" w:type="dxa"/>
            <w:gridSpan w:val="3"/>
            <w:vAlign w:val="top"/>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48"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绍兴</w:t>
            </w:r>
          </w:p>
        </w:tc>
        <w:tc>
          <w:tcPr>
            <w:tcW w:w="3332"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1.建议碎纸机不纳入集采目录。2.建议机动车保险服务等项目实行全省统一招标</w:t>
            </w:r>
          </w:p>
        </w:tc>
        <w:tc>
          <w:tcPr>
            <w:tcW w:w="2060"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拟不采纳</w:t>
            </w:r>
          </w:p>
        </w:tc>
        <w:tc>
          <w:tcPr>
            <w:tcW w:w="5080" w:type="dxa"/>
            <w:vAlign w:val="center"/>
          </w:tcPr>
          <w:p>
            <w:pPr>
              <w:numPr>
                <w:ilvl w:val="0"/>
                <w:numId w:val="0"/>
              </w:numPr>
              <w:spacing w:before="0" w:beforeLines="0" w:line="360" w:lineRule="exact"/>
              <w:ind w:firstLine="480"/>
              <w:jc w:val="both"/>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sz w:val="24"/>
                <w:lang w:val="en-US" w:eastAsia="zh-CN"/>
              </w:rPr>
              <w:t>拟不采纳第1条意见的理由：财政部</w:t>
            </w:r>
            <w:r>
              <w:rPr>
                <w:rFonts w:hint="eastAsia" w:ascii="仿宋_GB2312" w:hAnsi="仿宋_GB2312" w:eastAsia="仿宋_GB2312" w:cs="仿宋_GB2312"/>
                <w:b w:val="0"/>
                <w:bCs w:val="0"/>
                <w:sz w:val="24"/>
                <w:szCs w:val="24"/>
                <w:lang w:val="en-US" w:eastAsia="zh-CN"/>
              </w:rPr>
              <w:t>《地方目录及标准指引》规定地方应将碎纸机纳入政府集中采购目录。</w:t>
            </w:r>
          </w:p>
          <w:p>
            <w:pPr>
              <w:numPr>
                <w:ilvl w:val="0"/>
                <w:numId w:val="0"/>
              </w:numPr>
              <w:spacing w:before="0" w:beforeLines="0" w:line="360" w:lineRule="exact"/>
              <w:ind w:firstLine="480" w:firstLineChars="200"/>
              <w:jc w:val="both"/>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不采纳第2条意见的理由：除义务教育教科书和义务教育资源，人用疫苗等具有较强部门业务特点但关系民生的重大项目外，不规定其他集中采购项目是否全省统招，将视项目特点另行部署</w:t>
            </w:r>
          </w:p>
        </w:tc>
        <w:tc>
          <w:tcPr>
            <w:tcW w:w="1075" w:type="dxa"/>
            <w:vAlign w:val="top"/>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p>
        </w:tc>
        <w:tc>
          <w:tcPr>
            <w:tcW w:w="1340" w:type="dxa"/>
            <w:gridSpan w:val="3"/>
            <w:vAlign w:val="top"/>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48"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金华</w:t>
            </w:r>
          </w:p>
        </w:tc>
        <w:tc>
          <w:tcPr>
            <w:tcW w:w="3332"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无意见</w:t>
            </w:r>
          </w:p>
        </w:tc>
        <w:tc>
          <w:tcPr>
            <w:tcW w:w="2060"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p>
        </w:tc>
        <w:tc>
          <w:tcPr>
            <w:tcW w:w="5080"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p>
        </w:tc>
        <w:tc>
          <w:tcPr>
            <w:tcW w:w="1075" w:type="dxa"/>
            <w:vAlign w:val="top"/>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p>
        </w:tc>
        <w:tc>
          <w:tcPr>
            <w:tcW w:w="1340" w:type="dxa"/>
            <w:gridSpan w:val="3"/>
            <w:vAlign w:val="top"/>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48"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衢州</w:t>
            </w:r>
          </w:p>
        </w:tc>
        <w:tc>
          <w:tcPr>
            <w:tcW w:w="3332"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无意见</w:t>
            </w:r>
          </w:p>
        </w:tc>
        <w:tc>
          <w:tcPr>
            <w:tcW w:w="2060"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p>
        </w:tc>
        <w:tc>
          <w:tcPr>
            <w:tcW w:w="5080"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p>
        </w:tc>
        <w:tc>
          <w:tcPr>
            <w:tcW w:w="1075" w:type="dxa"/>
            <w:vAlign w:val="top"/>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p>
        </w:tc>
        <w:tc>
          <w:tcPr>
            <w:tcW w:w="1340" w:type="dxa"/>
            <w:gridSpan w:val="3"/>
            <w:vAlign w:val="top"/>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48"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舟山</w:t>
            </w:r>
          </w:p>
        </w:tc>
        <w:tc>
          <w:tcPr>
            <w:tcW w:w="3332"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1.建议汽车加油、复印纸不列入建集采目录。2.会计、审计、绩效评价、监督检查不列入集采目录。3.建议仅将家具用具中的办公家具列入集采目录</w:t>
            </w:r>
          </w:p>
        </w:tc>
        <w:tc>
          <w:tcPr>
            <w:tcW w:w="2060"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拟不采纳第1条建议，部分采纳第2条建议，采纳第3条建议</w:t>
            </w:r>
          </w:p>
        </w:tc>
        <w:tc>
          <w:tcPr>
            <w:tcW w:w="5080" w:type="dxa"/>
            <w:vAlign w:val="center"/>
          </w:tcPr>
          <w:p>
            <w:pPr>
              <w:numPr>
                <w:ilvl w:val="0"/>
                <w:numId w:val="0"/>
              </w:numPr>
              <w:spacing w:before="0" w:beforeLines="0" w:line="360" w:lineRule="exact"/>
              <w:jc w:val="both"/>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sz w:val="24"/>
                <w:lang w:val="en-US" w:eastAsia="zh-CN"/>
              </w:rPr>
              <w:t>拟不采纳第1条意见的理由：财政部</w:t>
            </w:r>
            <w:r>
              <w:rPr>
                <w:rFonts w:hint="eastAsia" w:ascii="仿宋_GB2312" w:hAnsi="仿宋_GB2312" w:eastAsia="仿宋_GB2312" w:cs="仿宋_GB2312"/>
                <w:b w:val="0"/>
                <w:bCs w:val="0"/>
                <w:sz w:val="24"/>
                <w:szCs w:val="24"/>
                <w:lang w:val="en-US" w:eastAsia="zh-CN"/>
              </w:rPr>
              <w:t>《地方目录及标准指引》规定地方应将汽车加油和复印纸纳入政府集中采购目录。</w:t>
            </w:r>
          </w:p>
          <w:p>
            <w:pPr>
              <w:numPr>
                <w:ilvl w:val="0"/>
                <w:numId w:val="0"/>
              </w:numPr>
              <w:spacing w:before="0" w:beforeLines="0" w:line="36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部分采纳第2条意见的理由：会议、审计、绩效评价服务具备集中采购项目的通用性特征，应当列入；监督检查不列入集中采购目录</w:t>
            </w:r>
          </w:p>
        </w:tc>
        <w:tc>
          <w:tcPr>
            <w:tcW w:w="1075" w:type="dxa"/>
            <w:vAlign w:val="top"/>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p>
        </w:tc>
        <w:tc>
          <w:tcPr>
            <w:tcW w:w="1340" w:type="dxa"/>
            <w:gridSpan w:val="3"/>
            <w:vAlign w:val="top"/>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48"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台州</w:t>
            </w:r>
          </w:p>
        </w:tc>
        <w:tc>
          <w:tcPr>
            <w:tcW w:w="3332"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建议将金额在1000万元以上的项目列入集采目录。2.建议将金额在公开招标数额标准以下的小额工程纳入集采目录，实施定点采购。3.建议将各部门使用频率较高的服务项目列入集采目录。4.建议明确部门集中采购项目的实施主体。5.县级政府是否具有变更公开招标采购方式的审批权限</w:t>
            </w:r>
          </w:p>
        </w:tc>
        <w:tc>
          <w:tcPr>
            <w:tcW w:w="2060"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拟不采纳第1条、2条意见，部分采纳第3条意见，采纳第4条意见,对第5条意见进行解释和说明</w:t>
            </w:r>
          </w:p>
        </w:tc>
        <w:tc>
          <w:tcPr>
            <w:tcW w:w="5080" w:type="dxa"/>
            <w:vAlign w:val="center"/>
          </w:tcPr>
          <w:p>
            <w:pPr>
              <w:numPr>
                <w:ilvl w:val="0"/>
                <w:numId w:val="0"/>
              </w:numPr>
              <w:spacing w:before="0" w:beforeLines="0" w:line="360" w:lineRule="exact"/>
              <w:ind w:firstLine="480"/>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拟不采纳的理由：1.集中采购项目应是具有通用性的项目，要考虑项目特点而不是单单按金额来确定，应鼓励将金额大并关系公共安全和社会公共利益的民生项目委托集中采购组织采购。2.工程项目曾纳入集中采购目录作定点采购，从实施情况来看，效果并不理想。</w:t>
            </w:r>
          </w:p>
          <w:p>
            <w:pPr>
              <w:numPr>
                <w:ilvl w:val="0"/>
                <w:numId w:val="0"/>
              </w:numPr>
              <w:spacing w:before="0" w:beforeLines="0" w:line="360" w:lineRule="exact"/>
              <w:ind w:firstLine="480"/>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部分采纳第3条意见的理由：已将资产评估、预算绩效评价服务纳入集中采购目录。因财政部规定地方可以增加10个集中采购项目，受数量所限，第3条意见中提到的其他服务项目由于采购频率并不很高或做定点采购意义不大，暂不予纳入。</w:t>
            </w:r>
          </w:p>
          <w:p>
            <w:pPr>
              <w:numPr>
                <w:ilvl w:val="0"/>
                <w:numId w:val="0"/>
              </w:numPr>
              <w:spacing w:before="0" w:beforeLines="0" w:line="360" w:lineRule="exact"/>
              <w:ind w:firstLine="480"/>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对第5条意见说明如下：政府采购法实施条例规定：财政管理体制上实行省直接管理县的地方，经省级政府授权，县级政府可以行使公开招标方式变更的审批权限。考虑到浙江在财政管理体制上实行省直管县，为提高采购效率，我们请求省政府授权县级政府可以审批采购方式变更</w:t>
            </w:r>
          </w:p>
        </w:tc>
        <w:tc>
          <w:tcPr>
            <w:tcW w:w="1075" w:type="dxa"/>
            <w:vAlign w:val="top"/>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p>
        </w:tc>
        <w:tc>
          <w:tcPr>
            <w:tcW w:w="1340" w:type="dxa"/>
            <w:gridSpan w:val="3"/>
            <w:vAlign w:val="top"/>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48"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丽水</w:t>
            </w:r>
          </w:p>
        </w:tc>
        <w:tc>
          <w:tcPr>
            <w:tcW w:w="3332"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建议增加“网上服务市场无法满足需求的采购项目，应当委托集中采购机构组织采购”</w:t>
            </w:r>
          </w:p>
        </w:tc>
        <w:tc>
          <w:tcPr>
            <w:tcW w:w="2060"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拟不采纳</w:t>
            </w:r>
          </w:p>
        </w:tc>
        <w:tc>
          <w:tcPr>
            <w:tcW w:w="5080"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拟不采纳的理由：列入集中采购目录的服务项目都是非常通用的服务项目，各地一般应当作定点采购并将入围供应商纳入网上服务市场管理；文中已规定，服务类集中采购项目除网上服务市场外，预算单位也可以委托集中采购机构组织采购</w:t>
            </w:r>
          </w:p>
        </w:tc>
        <w:tc>
          <w:tcPr>
            <w:tcW w:w="1075" w:type="dxa"/>
            <w:vAlign w:val="top"/>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p>
        </w:tc>
        <w:tc>
          <w:tcPr>
            <w:tcW w:w="1340" w:type="dxa"/>
            <w:gridSpan w:val="3"/>
            <w:vAlign w:val="top"/>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48"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浙江省政府采购联合会</w:t>
            </w:r>
          </w:p>
        </w:tc>
        <w:tc>
          <w:tcPr>
            <w:tcW w:w="3332"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无意见</w:t>
            </w:r>
          </w:p>
        </w:tc>
        <w:tc>
          <w:tcPr>
            <w:tcW w:w="2060"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p>
        </w:tc>
        <w:tc>
          <w:tcPr>
            <w:tcW w:w="5080"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p>
        </w:tc>
        <w:tc>
          <w:tcPr>
            <w:tcW w:w="1075" w:type="dxa"/>
            <w:vAlign w:val="top"/>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p>
        </w:tc>
        <w:tc>
          <w:tcPr>
            <w:tcW w:w="1340" w:type="dxa"/>
            <w:gridSpan w:val="3"/>
            <w:vAlign w:val="top"/>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p>
        </w:tc>
      </w:tr>
    </w:tbl>
    <w:p/>
    <w:p/>
    <w:p/>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swiss"/>
    <w:pitch w:val="default"/>
    <w:sig w:usb0="00000001" w:usb1="080E0000" w:usb2="00000000" w:usb3="00000000" w:csb0="00040000" w:csb1="00000000"/>
  </w:font>
  <w:font w:name="方正小标宋简体">
    <w:altName w:val="宋体-方正超大字符集"/>
    <w:panose1 w:val="03000509000000000000"/>
    <w:charset w:val="86"/>
    <w:family w:val="auto"/>
    <w:pitch w:val="default"/>
    <w:sig w:usb0="00000000" w:usb1="0000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宋体-方正超大字符集">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E25A01"/>
    <w:rsid w:val="049E0041"/>
    <w:rsid w:val="280D38B2"/>
    <w:rsid w:val="4BAC6AF2"/>
    <w:rsid w:val="67E25A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2021-01-14T07:14:00Z</dcterms:created>
  <dc:creator>张志华</dc:creator>
  <cp:lastModifiedBy>zzh</cp:lastModifiedBy>
  <dcterms:modified xsi:type="dcterms:W3CDTF">2022-09-16T04:17:03Z</dcterms:modified>
  <dc:title>征求部门意见及采纳情况说明</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