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征求部门意见及采纳情况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说明</w:t>
      </w:r>
    </w:p>
    <w:p>
      <w:pPr>
        <w:rPr>
          <w:rFonts w:hint="eastAsia"/>
          <w:lang w:val="en-US" w:eastAsia="zh-CN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本办法已以书面形式征求市县（部门）意见，并于2020年9月2日起在省财政厅门户网站主动公开征求意见7个工作日，无反馈意见。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A12F1"/>
    <w:rsid w:val="19153C81"/>
    <w:rsid w:val="48EA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2020-12-29T07:37:00Z</dcterms:created>
  <dc:creator>张志华</dc:creator>
  <cp:lastModifiedBy>张志华</cp:lastModifiedBy>
  <dcterms:modified xsi:type="dcterms:W3CDTF">2020-12-29T07:38:54Z</dcterms:modified>
  <dc:title>征求部门意见及采纳情况说明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