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700" w:lineRule="exact"/>
        <w:jc w:val="center"/>
        <w:rPr>
          <w:rFonts w:hint="default" w:ascii="Times New Roman" w:hAnsi="Times New Roman" w:eastAsia="方正小标宋简体" w:cs="Times New Roman"/>
          <w:b w:val="0"/>
          <w:bCs w:val="0"/>
          <w:sz w:val="44"/>
          <w:szCs w:val="44"/>
          <w:lang w:val="en-US" w:eastAsia="zh-CN"/>
        </w:rPr>
      </w:pPr>
      <w:bookmarkStart w:id="1" w:name="_GoBack"/>
      <w:r>
        <w:rPr>
          <w:rFonts w:hint="default" w:ascii="Times New Roman" w:hAnsi="Times New Roman" w:eastAsia="方正小标宋简体" w:cs="Times New Roman"/>
          <w:b w:val="0"/>
          <w:bCs w:val="0"/>
          <w:sz w:val="44"/>
          <w:szCs w:val="44"/>
          <w:lang w:val="en-US" w:eastAsia="zh-CN"/>
        </w:rPr>
        <w:t>《关于进一步加强和规范政府购买服务管理的通知（征求意见稿）》</w:t>
      </w:r>
    </w:p>
    <w:p>
      <w:pPr>
        <w:spacing w:beforeLines="0" w:afterLines="0" w:line="700" w:lineRule="exact"/>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征求意见情况汇总表</w:t>
      </w:r>
    </w:p>
    <w:bookmarkEnd w:id="1"/>
    <w:p>
      <w:pPr>
        <w:rPr>
          <w:rFonts w:hint="default" w:ascii="Times New Roman" w:hAnsi="Times New Roman" w:cs="Times New Roman"/>
          <w:lang w:val="en-US" w:eastAsia="zh-CN"/>
        </w:rPr>
      </w:pPr>
    </w:p>
    <w:p>
      <w:pPr>
        <w:spacing w:beforeLines="0" w:afterLines="0"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本通知已通过书面形式征求各设区市财政局及省政府购买服务联席会议成员单位意见，并于2020年12月22日—31日在省财政厅门户网站主动公开征求意见7个工作日，具体反馈意见及最终采纳情况如下：</w:t>
      </w:r>
    </w:p>
    <w:tbl>
      <w:tblPr>
        <w:tblStyle w:val="3"/>
        <w:tblW w:w="1407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510"/>
        <w:gridCol w:w="675"/>
        <w:gridCol w:w="5865"/>
        <w:gridCol w:w="1305"/>
        <w:gridCol w:w="3825"/>
        <w:gridCol w:w="1125"/>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37" w:hRule="atLeast"/>
        </w:trPr>
        <w:tc>
          <w:tcPr>
            <w:tcW w:w="510"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kinsoku/>
              <w:autoSpaceDE/>
              <w:autoSpaceDN w:val="0"/>
              <w:spacing w:beforeLines="0" w:afterLines="0" w:line="280" w:lineRule="exact"/>
              <w:jc w:val="center"/>
              <w:textAlignment w:val="center"/>
              <w:rPr>
                <w:rFonts w:hint="default" w:ascii="Times New Roman" w:hAnsi="Times New Roman" w:eastAsia="黑体" w:cs="Times New Roman"/>
                <w:b w:val="0"/>
                <w:bCs/>
                <w:i w:val="0"/>
                <w:snapToGrid/>
                <w:color w:val="000000"/>
                <w:sz w:val="21"/>
                <w:szCs w:val="21"/>
                <w:u w:val="none"/>
                <w:lang w:eastAsia="zh-CN"/>
              </w:rPr>
            </w:pPr>
            <w:r>
              <w:rPr>
                <w:rFonts w:hint="default" w:ascii="Times New Roman" w:hAnsi="Times New Roman" w:eastAsia="黑体" w:cs="Times New Roman"/>
                <w:b w:val="0"/>
                <w:bCs/>
                <w:i w:val="0"/>
                <w:snapToGrid/>
                <w:color w:val="000000"/>
                <w:sz w:val="21"/>
                <w:szCs w:val="21"/>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kinsoku/>
              <w:autoSpaceDE/>
              <w:autoSpaceDN w:val="0"/>
              <w:spacing w:beforeLines="0" w:afterLines="0" w:line="280" w:lineRule="exact"/>
              <w:jc w:val="center"/>
              <w:textAlignment w:val="center"/>
              <w:rPr>
                <w:rFonts w:hint="default" w:ascii="Times New Roman" w:hAnsi="Times New Roman" w:eastAsia="黑体" w:cs="Times New Roman"/>
                <w:b w:val="0"/>
                <w:bCs/>
                <w:i w:val="0"/>
                <w:snapToGrid/>
                <w:color w:val="000000"/>
                <w:sz w:val="21"/>
                <w:szCs w:val="21"/>
                <w:u w:val="none"/>
                <w:lang w:eastAsia="zh-CN"/>
              </w:rPr>
            </w:pPr>
            <w:r>
              <w:rPr>
                <w:rFonts w:hint="default" w:ascii="Times New Roman" w:hAnsi="Times New Roman" w:eastAsia="黑体" w:cs="Times New Roman"/>
                <w:b w:val="0"/>
                <w:bCs/>
                <w:i w:val="0"/>
                <w:snapToGrid/>
                <w:color w:val="000000"/>
                <w:sz w:val="21"/>
                <w:szCs w:val="21"/>
                <w:u w:val="none"/>
                <w:lang w:eastAsia="zh-CN"/>
              </w:rPr>
              <w:t>单位</w:t>
            </w:r>
          </w:p>
        </w:tc>
        <w:tc>
          <w:tcPr>
            <w:tcW w:w="5865"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kinsoku/>
              <w:autoSpaceDE/>
              <w:autoSpaceDN w:val="0"/>
              <w:spacing w:beforeLines="0" w:afterLines="0" w:line="280" w:lineRule="exact"/>
              <w:jc w:val="center"/>
              <w:textAlignment w:val="center"/>
              <w:rPr>
                <w:rFonts w:hint="default" w:ascii="Times New Roman" w:hAnsi="Times New Roman" w:eastAsia="黑体" w:cs="Times New Roman"/>
                <w:b w:val="0"/>
                <w:bCs/>
                <w:i w:val="0"/>
                <w:snapToGrid/>
                <w:color w:val="000000"/>
                <w:sz w:val="21"/>
                <w:szCs w:val="21"/>
                <w:u w:val="none"/>
                <w:lang w:eastAsia="zh-CN"/>
              </w:rPr>
            </w:pPr>
            <w:r>
              <w:rPr>
                <w:rFonts w:hint="default" w:ascii="Times New Roman" w:hAnsi="Times New Roman" w:eastAsia="黑体" w:cs="Times New Roman"/>
                <w:b w:val="0"/>
                <w:bCs/>
                <w:i w:val="0"/>
                <w:snapToGrid/>
                <w:color w:val="000000"/>
                <w:sz w:val="21"/>
                <w:szCs w:val="21"/>
                <w:u w:val="none"/>
                <w:lang w:eastAsia="zh-CN"/>
              </w:rPr>
              <w:t>意见</w:t>
            </w:r>
          </w:p>
        </w:tc>
        <w:tc>
          <w:tcPr>
            <w:tcW w:w="1305"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kinsoku/>
              <w:autoSpaceDE/>
              <w:autoSpaceDN w:val="0"/>
              <w:spacing w:beforeLines="0" w:afterLines="0" w:line="280" w:lineRule="exact"/>
              <w:jc w:val="center"/>
              <w:textAlignment w:val="center"/>
              <w:rPr>
                <w:rFonts w:hint="default" w:ascii="Times New Roman" w:hAnsi="Times New Roman" w:eastAsia="黑体" w:cs="Times New Roman"/>
                <w:b w:val="0"/>
                <w:bCs/>
                <w:i w:val="0"/>
                <w:snapToGrid/>
                <w:color w:val="000000"/>
                <w:sz w:val="21"/>
                <w:szCs w:val="21"/>
                <w:u w:val="none"/>
                <w:lang w:eastAsia="zh-CN"/>
              </w:rPr>
            </w:pPr>
            <w:r>
              <w:rPr>
                <w:rFonts w:hint="default" w:ascii="Times New Roman" w:hAnsi="Times New Roman" w:eastAsia="黑体" w:cs="Times New Roman"/>
                <w:b w:val="0"/>
                <w:bCs/>
                <w:i w:val="0"/>
                <w:snapToGrid/>
                <w:color w:val="000000"/>
                <w:sz w:val="21"/>
                <w:szCs w:val="21"/>
                <w:u w:val="none"/>
                <w:lang w:eastAsia="zh-CN"/>
              </w:rPr>
              <w:t>起草单位采纳情况</w:t>
            </w:r>
          </w:p>
        </w:tc>
        <w:tc>
          <w:tcPr>
            <w:tcW w:w="3825"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kinsoku/>
              <w:autoSpaceDE/>
              <w:autoSpaceDN w:val="0"/>
              <w:spacing w:beforeLines="0" w:afterLines="0" w:line="280" w:lineRule="exact"/>
              <w:jc w:val="center"/>
              <w:textAlignment w:val="center"/>
              <w:rPr>
                <w:rFonts w:hint="default" w:ascii="Times New Roman" w:hAnsi="Times New Roman" w:eastAsia="黑体" w:cs="Times New Roman"/>
                <w:b w:val="0"/>
                <w:bCs/>
                <w:i w:val="0"/>
                <w:snapToGrid/>
                <w:color w:val="000000"/>
                <w:sz w:val="21"/>
                <w:szCs w:val="21"/>
                <w:u w:val="none"/>
                <w:lang w:eastAsia="zh-CN"/>
              </w:rPr>
            </w:pPr>
            <w:r>
              <w:rPr>
                <w:rFonts w:hint="default" w:ascii="Times New Roman" w:hAnsi="Times New Roman" w:eastAsia="黑体" w:cs="Times New Roman"/>
                <w:b w:val="0"/>
                <w:bCs/>
                <w:i w:val="0"/>
                <w:snapToGrid/>
                <w:color w:val="000000"/>
                <w:sz w:val="21"/>
                <w:szCs w:val="21"/>
                <w:u w:val="none"/>
                <w:lang w:eastAsia="zh-CN"/>
              </w:rPr>
              <w:t>原因说明</w:t>
            </w:r>
          </w:p>
        </w:tc>
        <w:tc>
          <w:tcPr>
            <w:tcW w:w="1125"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kinsoku/>
              <w:autoSpaceDE/>
              <w:autoSpaceDN w:val="0"/>
              <w:spacing w:beforeLines="0" w:afterLines="0" w:line="280" w:lineRule="exact"/>
              <w:jc w:val="center"/>
              <w:textAlignment w:val="center"/>
              <w:rPr>
                <w:rFonts w:hint="default" w:ascii="Times New Roman" w:hAnsi="Times New Roman" w:eastAsia="黑体" w:cs="Times New Roman"/>
                <w:b w:val="0"/>
                <w:bCs/>
                <w:i w:val="0"/>
                <w:snapToGrid/>
                <w:color w:val="000000"/>
                <w:sz w:val="21"/>
                <w:szCs w:val="21"/>
                <w:u w:val="none"/>
                <w:lang w:eastAsia="zh-CN"/>
              </w:rPr>
            </w:pPr>
            <w:r>
              <w:rPr>
                <w:rFonts w:hint="default" w:ascii="Times New Roman" w:hAnsi="Times New Roman" w:eastAsia="黑体" w:cs="Times New Roman"/>
                <w:b w:val="0"/>
                <w:bCs/>
                <w:i w:val="0"/>
                <w:snapToGrid/>
                <w:color w:val="000000"/>
                <w:sz w:val="21"/>
                <w:szCs w:val="21"/>
                <w:u w:val="none"/>
                <w:lang w:eastAsia="zh-CN"/>
              </w:rPr>
              <w:t>办文处意见采纳情况</w:t>
            </w:r>
          </w:p>
        </w:tc>
        <w:tc>
          <w:tcPr>
            <w:tcW w:w="765"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kinsoku/>
              <w:autoSpaceDE/>
              <w:autoSpaceDN w:val="0"/>
              <w:spacing w:beforeLines="0" w:afterLines="0" w:line="280" w:lineRule="exact"/>
              <w:jc w:val="center"/>
              <w:textAlignment w:val="center"/>
              <w:rPr>
                <w:rFonts w:hint="default" w:ascii="Times New Roman" w:hAnsi="Times New Roman" w:eastAsia="黑体" w:cs="Times New Roman"/>
                <w:b w:val="0"/>
                <w:bCs/>
                <w:i w:val="0"/>
                <w:snapToGrid/>
                <w:color w:val="000000"/>
                <w:sz w:val="21"/>
                <w:szCs w:val="21"/>
                <w:u w:val="none"/>
                <w:lang w:eastAsia="zh-CN"/>
              </w:rPr>
            </w:pPr>
            <w:r>
              <w:rPr>
                <w:rFonts w:hint="default" w:ascii="Times New Roman" w:hAnsi="Times New Roman" w:eastAsia="黑体" w:cs="Times New Roman"/>
                <w:b w:val="0"/>
                <w:bCs/>
                <w:i w:val="0"/>
                <w:snapToGrid/>
                <w:color w:val="000000"/>
                <w:sz w:val="21"/>
                <w:szCs w:val="21"/>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35" w:hRule="atLeast"/>
        </w:trPr>
        <w:tc>
          <w:tcPr>
            <w:tcW w:w="51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1</w:t>
            </w:r>
          </w:p>
        </w:tc>
        <w:tc>
          <w:tcPr>
            <w:tcW w:w="675" w:type="dxa"/>
            <w:vMerge w:val="restart"/>
            <w:tcBorders>
              <w:top w:val="single" w:color="000000" w:sz="4" w:space="0"/>
              <w:left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省委编办</w:t>
            </w:r>
          </w:p>
        </w:tc>
        <w:tc>
          <w:tcPr>
            <w:tcW w:w="58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建议将（一）全面梳理政府职责事项，明确部门职能边界中“各部门应加快建立职能目录清单，对目录清单中适合通过市场化方式提供的服务事项，大力提倡通过政府购买服务实施”的表述修改为“深化完善权责清单，健全政府购买服务目录。对适合通过市场化方式提供的服务事项，大力提倡通过政府购买服务方式实施”。</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已采纳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35" w:hRule="atLeast"/>
        </w:trPr>
        <w:tc>
          <w:tcPr>
            <w:tcW w:w="51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2</w:t>
            </w:r>
          </w:p>
        </w:tc>
        <w:tc>
          <w:tcPr>
            <w:tcW w:w="675" w:type="dxa"/>
            <w:vMerge w:val="continue"/>
            <w:tcBorders>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58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建议将（十四）强化事业单位分类参与改革有关政策规定中“积极推动公益一类事业单位转为公益二类事业单位，作为优质的承接主体”的表述修改为“积极推动具备条件的公益一类事业单位转为公益二类事业单位，作为优质的承接主体”。</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已采纳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05" w:hRule="atLeast"/>
        </w:trPr>
        <w:tc>
          <w:tcPr>
            <w:tcW w:w="51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val="en-US" w:eastAsia="zh-CN"/>
              </w:rPr>
              <w:t>3</w:t>
            </w:r>
          </w:p>
        </w:tc>
        <w:tc>
          <w:tcPr>
            <w:tcW w:w="675" w:type="dxa"/>
            <w:vMerge w:val="restart"/>
            <w:tcBorders>
              <w:top w:val="single" w:color="000000" w:sz="4" w:space="0"/>
              <w:left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省市场监管局</w:t>
            </w:r>
          </w:p>
        </w:tc>
        <w:tc>
          <w:tcPr>
            <w:tcW w:w="58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建议明确部门职能目录建立的方法、内容。</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未予采纳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部门职能目录应当由各部门按照规定分头建立，不宜在该文件中明确。</w:t>
            </w: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20" w:hRule="atLeast"/>
        </w:trPr>
        <w:tc>
          <w:tcPr>
            <w:tcW w:w="51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4</w:t>
            </w:r>
          </w:p>
        </w:tc>
        <w:tc>
          <w:tcPr>
            <w:tcW w:w="675" w:type="dxa"/>
            <w:vMerge w:val="continue"/>
            <w:tcBorders>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N w:val="0"/>
              <w:spacing w:beforeLines="0" w:afterLines="0" w:line="280" w:lineRule="exact"/>
              <w:textAlignment w:val="center"/>
              <w:rPr>
                <w:rFonts w:hint="default" w:ascii="Times New Roman" w:hAnsi="Times New Roman" w:eastAsia="仿宋_GB2312" w:cs="Times New Roman"/>
                <w:bCs/>
                <w:sz w:val="21"/>
                <w:szCs w:val="21"/>
              </w:rPr>
            </w:pPr>
          </w:p>
        </w:tc>
        <w:tc>
          <w:tcPr>
            <w:tcW w:w="58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建议省财政制定第（十二）项中所述合同的省级购买服务合同范本。</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已采纳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财政部已着手规范相关服务合同，我省按规定执行。</w:t>
            </w: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80" w:hRule="atLeast"/>
        </w:trPr>
        <w:tc>
          <w:tcPr>
            <w:tcW w:w="51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val="en-US" w:eastAsia="zh-CN"/>
              </w:rPr>
              <w:t>5</w:t>
            </w:r>
          </w:p>
        </w:tc>
        <w:tc>
          <w:tcPr>
            <w:tcW w:w="67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N w:val="0"/>
              <w:spacing w:beforeLines="0" w:afterLines="0" w:line="280" w:lineRule="exact"/>
              <w:jc w:val="center"/>
              <w:textAlignment w:val="center"/>
              <w:rPr>
                <w:rFonts w:hint="default" w:ascii="Times New Roman" w:hAnsi="Times New Roman" w:eastAsia="仿宋_GB2312" w:cs="Times New Roman"/>
                <w:bCs/>
                <w:sz w:val="21"/>
                <w:szCs w:val="21"/>
                <w:lang w:eastAsia="zh-CN"/>
              </w:rPr>
            </w:pPr>
            <w:r>
              <w:rPr>
                <w:rFonts w:hint="default" w:ascii="Times New Roman" w:hAnsi="Times New Roman" w:eastAsia="仿宋_GB2312" w:cs="Times New Roman"/>
                <w:bCs/>
                <w:sz w:val="21"/>
                <w:szCs w:val="21"/>
                <w:lang w:eastAsia="zh-CN"/>
              </w:rPr>
              <w:t>省司法厅</w:t>
            </w:r>
          </w:p>
        </w:tc>
        <w:tc>
          <w:tcPr>
            <w:tcW w:w="58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建议将第（九）点“财政部门应加大与机构编制等部门的沟通协调，……逐步纳入指导性目录”调整至第四（十）点，作为目录完善更新的情形之一。</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未予采纳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该建议未要求实质性改变内容，仅是有关表述内容的条款放置问题。经研究，从整文上下篇幅和衔接关系考虑，不作修改。</w:t>
            </w: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5" w:hRule="atLeast"/>
        </w:trPr>
        <w:tc>
          <w:tcPr>
            <w:tcW w:w="51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6</w:t>
            </w:r>
          </w:p>
        </w:tc>
        <w:tc>
          <w:tcPr>
            <w:tcW w:w="675" w:type="dxa"/>
            <w:vMerge w:val="restart"/>
            <w:tcBorders>
              <w:top w:val="single" w:color="000000" w:sz="4" w:space="0"/>
              <w:left w:val="single" w:color="000000" w:sz="4" w:space="0"/>
              <w:right w:val="single" w:color="000000" w:sz="4" w:space="0"/>
            </w:tcBorders>
            <w:tcMar>
              <w:top w:w="57" w:type="dxa"/>
              <w:left w:w="57" w:type="dxa"/>
              <w:bottom w:w="57" w:type="dxa"/>
              <w:right w:w="57" w:type="dxa"/>
            </w:tcMar>
            <w:vAlign w:val="center"/>
          </w:tcPr>
          <w:p>
            <w:pPr>
              <w:autoSpaceDN w:val="0"/>
              <w:spacing w:beforeLines="0" w:afterLines="0" w:line="280" w:lineRule="exact"/>
              <w:jc w:val="center"/>
              <w:textAlignment w:val="center"/>
              <w:rPr>
                <w:rFonts w:hint="default" w:ascii="Times New Roman" w:hAnsi="Times New Roman" w:eastAsia="仿宋_GB2312" w:cs="Times New Roman"/>
                <w:bCs/>
                <w:sz w:val="21"/>
                <w:szCs w:val="21"/>
                <w:lang w:eastAsia="zh-CN"/>
              </w:rPr>
            </w:pPr>
            <w:r>
              <w:rPr>
                <w:rFonts w:hint="default" w:ascii="Times New Roman" w:hAnsi="Times New Roman" w:eastAsia="仿宋_GB2312" w:cs="Times New Roman"/>
                <w:bCs/>
                <w:sz w:val="21"/>
                <w:szCs w:val="21"/>
                <w:lang w:eastAsia="zh-CN"/>
              </w:rPr>
              <w:t>宁波市</w:t>
            </w:r>
          </w:p>
        </w:tc>
        <w:tc>
          <w:tcPr>
            <w:tcW w:w="58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Cs/>
                <w:sz w:val="21"/>
                <w:szCs w:val="21"/>
              </w:rPr>
              <w:t>建议将</w:t>
            </w:r>
            <w:r>
              <w:rPr>
                <w:rFonts w:hint="default" w:ascii="Times New Roman" w:hAnsi="Times New Roman" w:eastAsia="仿宋_GB2312" w:cs="Times New Roman"/>
                <w:bCs/>
                <w:sz w:val="21"/>
                <w:szCs w:val="21"/>
                <w:lang w:eastAsia="zh-CN"/>
              </w:rPr>
              <w:t>P</w:t>
            </w:r>
            <w:r>
              <w:rPr>
                <w:rFonts w:hint="default" w:ascii="Times New Roman" w:hAnsi="Times New Roman" w:eastAsia="仿宋_GB2312" w:cs="Times New Roman"/>
                <w:bCs/>
                <w:sz w:val="21"/>
                <w:szCs w:val="21"/>
              </w:rPr>
              <w:t>4（十）完善目录更新制度中，按年度定期修改完善指导性目录的表述删除。</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已采纳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5" w:hRule="atLeast"/>
        </w:trPr>
        <w:tc>
          <w:tcPr>
            <w:tcW w:w="510"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7</w:t>
            </w:r>
          </w:p>
        </w:tc>
        <w:tc>
          <w:tcPr>
            <w:tcW w:w="675" w:type="dxa"/>
            <w:vMerge w:val="continue"/>
            <w:tcBorders>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N w:val="0"/>
              <w:spacing w:beforeLines="0" w:afterLines="0" w:line="280" w:lineRule="exact"/>
              <w:jc w:val="center"/>
              <w:textAlignment w:val="center"/>
              <w:rPr>
                <w:rFonts w:hint="default" w:ascii="Times New Roman" w:hAnsi="Times New Roman" w:eastAsia="仿宋_GB2312" w:cs="Times New Roman"/>
                <w:bCs/>
                <w:sz w:val="21"/>
                <w:szCs w:val="21"/>
                <w:lang w:eastAsia="zh-CN"/>
              </w:rPr>
            </w:pPr>
          </w:p>
        </w:tc>
        <w:tc>
          <w:tcPr>
            <w:tcW w:w="58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Cs/>
                <w:sz w:val="21"/>
                <w:szCs w:val="21"/>
              </w:rPr>
              <w:t>建议将P7(十九)切实采取措施，完善准入环境中，表述淡化政府向社会组织购买公共服务具体比例相关规定去除。</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已采纳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07" w:hRule="atLeast"/>
        </w:trPr>
        <w:tc>
          <w:tcPr>
            <w:tcW w:w="510" w:type="dxa"/>
            <w:tcBorders>
              <w:top w:val="single" w:color="000000" w:sz="4" w:space="0"/>
              <w:left w:val="single" w:color="000000" w:sz="4" w:space="0"/>
              <w:bottom w:val="single" w:color="000000" w:sz="4" w:space="0"/>
              <w:right w:val="single" w:color="auto"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8</w:t>
            </w:r>
          </w:p>
        </w:tc>
        <w:tc>
          <w:tcPr>
            <w:tcW w:w="675" w:type="dxa"/>
            <w:vMerge w:val="restart"/>
            <w:tcBorders>
              <w:top w:val="single" w:color="000000" w:sz="4" w:space="0"/>
              <w:left w:val="single" w:color="auto" w:sz="4" w:space="0"/>
              <w:right w:val="single" w:color="000000" w:sz="4" w:space="0"/>
            </w:tcBorders>
            <w:tcMar>
              <w:top w:w="57" w:type="dxa"/>
              <w:left w:w="57" w:type="dxa"/>
              <w:bottom w:w="57" w:type="dxa"/>
              <w:right w:w="57" w:type="dxa"/>
            </w:tcMar>
            <w:vAlign w:val="center"/>
          </w:tcPr>
          <w:p>
            <w:pPr>
              <w:autoSpaceDN w:val="0"/>
              <w:spacing w:beforeLines="0" w:afterLines="0" w:line="280" w:lineRule="exact"/>
              <w:jc w:val="center"/>
              <w:textAlignment w:val="center"/>
              <w:rPr>
                <w:rFonts w:hint="default" w:ascii="Times New Roman" w:hAnsi="Times New Roman" w:eastAsia="仿宋_GB2312" w:cs="Times New Roman"/>
                <w:bCs/>
                <w:sz w:val="21"/>
                <w:szCs w:val="21"/>
                <w:lang w:eastAsia="zh-CN"/>
              </w:rPr>
            </w:pPr>
            <w:r>
              <w:rPr>
                <w:rFonts w:hint="default" w:ascii="Times New Roman" w:hAnsi="Times New Roman" w:eastAsia="仿宋_GB2312" w:cs="Times New Roman"/>
                <w:bCs/>
                <w:sz w:val="21"/>
                <w:szCs w:val="21"/>
                <w:lang w:eastAsia="zh-CN"/>
              </w:rPr>
              <w:t>台州市</w:t>
            </w:r>
          </w:p>
        </w:tc>
        <w:tc>
          <w:tcPr>
            <w:tcW w:w="58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Cs/>
                <w:sz w:val="21"/>
                <w:szCs w:val="21"/>
                <w:lang w:eastAsia="zh-CN"/>
              </w:rPr>
              <w:t>建议将</w:t>
            </w:r>
            <w:r>
              <w:rPr>
                <w:rFonts w:hint="default" w:ascii="Times New Roman" w:hAnsi="Times New Roman" w:eastAsia="仿宋_GB2312" w:cs="Times New Roman"/>
                <w:bCs/>
                <w:sz w:val="21"/>
                <w:szCs w:val="21"/>
                <w:lang w:val="en-US" w:eastAsia="zh-CN"/>
              </w:rPr>
              <w:t>P3（六）中</w:t>
            </w:r>
            <w:r>
              <w:rPr>
                <w:rFonts w:hint="default" w:ascii="Times New Roman" w:hAnsi="Times New Roman" w:eastAsia="仿宋_GB2312" w:cs="Times New Roman"/>
                <w:bCs/>
                <w:sz w:val="21"/>
                <w:szCs w:val="21"/>
                <w:lang w:eastAsia="zh-CN"/>
              </w:rPr>
              <w:t>第</w:t>
            </w:r>
            <w:r>
              <w:rPr>
                <w:rFonts w:hint="default" w:ascii="Times New Roman" w:hAnsi="Times New Roman" w:eastAsia="仿宋_GB2312" w:cs="Times New Roman"/>
                <w:bCs/>
                <w:sz w:val="21"/>
                <w:szCs w:val="21"/>
                <w:lang w:val="en-US" w:eastAsia="zh-CN"/>
              </w:rPr>
              <w:t>3行“</w:t>
            </w:r>
            <w:r>
              <w:rPr>
                <w:rFonts w:hint="default" w:ascii="Times New Roman" w:hAnsi="Times New Roman" w:eastAsia="仿宋_GB2312" w:cs="Times New Roman"/>
                <w:bCs/>
                <w:sz w:val="21"/>
                <w:szCs w:val="21"/>
                <w:lang w:eastAsia="zh-CN"/>
              </w:rPr>
              <w:t>反映购买服务支出情况”删除。</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未予采纳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财政部《政府购买服务管理办法》明确要求，购买主体在编报年度部门预算时，应当反映政府购买服务支出情况。</w:t>
            </w: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27" w:hRule="atLeast"/>
        </w:trPr>
        <w:tc>
          <w:tcPr>
            <w:tcW w:w="510" w:type="dxa"/>
            <w:tcBorders>
              <w:top w:val="single" w:color="000000" w:sz="4" w:space="0"/>
              <w:left w:val="single" w:color="000000" w:sz="4" w:space="0"/>
              <w:bottom w:val="single" w:color="000000" w:sz="4" w:space="0"/>
              <w:right w:val="single" w:color="auto"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9</w:t>
            </w:r>
          </w:p>
        </w:tc>
        <w:tc>
          <w:tcPr>
            <w:tcW w:w="675" w:type="dxa"/>
            <w:vMerge w:val="continue"/>
            <w:tcBorders>
              <w:left w:val="single" w:color="auto" w:sz="4" w:space="0"/>
              <w:right w:val="single" w:color="000000" w:sz="4" w:space="0"/>
            </w:tcBorders>
            <w:tcMar>
              <w:top w:w="57" w:type="dxa"/>
              <w:left w:w="57" w:type="dxa"/>
              <w:bottom w:w="57" w:type="dxa"/>
              <w:right w:w="57" w:type="dxa"/>
            </w:tcMar>
            <w:vAlign w:val="center"/>
          </w:tcPr>
          <w:p>
            <w:pPr>
              <w:autoSpaceDN w:val="0"/>
              <w:spacing w:beforeLines="0" w:afterLines="0" w:line="280" w:lineRule="exact"/>
              <w:textAlignment w:val="center"/>
              <w:rPr>
                <w:rFonts w:hint="default" w:ascii="Times New Roman" w:hAnsi="Times New Roman" w:eastAsia="仿宋_GB2312" w:cs="Times New Roman"/>
                <w:bCs/>
                <w:sz w:val="21"/>
                <w:szCs w:val="21"/>
                <w:lang w:eastAsia="zh-CN"/>
              </w:rPr>
            </w:pPr>
          </w:p>
        </w:tc>
        <w:tc>
          <w:tcPr>
            <w:tcW w:w="58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Cs/>
                <w:sz w:val="21"/>
                <w:szCs w:val="21"/>
                <w:lang w:eastAsia="zh-CN"/>
              </w:rPr>
              <w:t>征求意见稿中第四点进一步加强政府购买服务指导性目录管理中指出：完善目录更新制度。建议省厅每年的目录发布能在预算编制前。</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未予采纳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意见不涉及文件内容，可以在下一步工作中统筹考虑。</w:t>
            </w: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185" w:hRule="atLeast"/>
        </w:trPr>
        <w:tc>
          <w:tcPr>
            <w:tcW w:w="510" w:type="dxa"/>
            <w:tcBorders>
              <w:top w:val="single" w:color="000000" w:sz="4" w:space="0"/>
              <w:left w:val="single" w:color="000000" w:sz="4" w:space="0"/>
              <w:bottom w:val="single" w:color="auto" w:sz="4" w:space="0"/>
              <w:right w:val="single" w:color="auto"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10</w:t>
            </w:r>
          </w:p>
        </w:tc>
        <w:tc>
          <w:tcPr>
            <w:tcW w:w="675" w:type="dxa"/>
            <w:vMerge w:val="continue"/>
            <w:tcBorders>
              <w:left w:val="single" w:color="auto" w:sz="4" w:space="0"/>
              <w:bottom w:val="single" w:color="auto" w:sz="4" w:space="0"/>
              <w:right w:val="single" w:color="000000" w:sz="4" w:space="0"/>
            </w:tcBorders>
            <w:tcMar>
              <w:top w:w="57" w:type="dxa"/>
              <w:left w:w="57" w:type="dxa"/>
              <w:bottom w:w="57" w:type="dxa"/>
              <w:right w:w="57" w:type="dxa"/>
            </w:tcMar>
            <w:vAlign w:val="center"/>
          </w:tcPr>
          <w:p>
            <w:pPr>
              <w:autoSpaceDN w:val="0"/>
              <w:spacing w:beforeLines="0" w:afterLines="0" w:line="280" w:lineRule="exact"/>
              <w:textAlignment w:val="center"/>
              <w:rPr>
                <w:rFonts w:hint="default" w:ascii="Times New Roman" w:hAnsi="Times New Roman" w:eastAsia="仿宋_GB2312" w:cs="Times New Roman"/>
                <w:bCs/>
                <w:sz w:val="21"/>
                <w:szCs w:val="21"/>
                <w:lang w:eastAsia="zh-CN"/>
              </w:rPr>
            </w:pPr>
          </w:p>
        </w:tc>
        <w:tc>
          <w:tcPr>
            <w:tcW w:w="5865" w:type="dxa"/>
            <w:tcBorders>
              <w:top w:val="single" w:color="000000" w:sz="4" w:space="0"/>
              <w:left w:val="single" w:color="000000" w:sz="4" w:space="0"/>
              <w:bottom w:val="single" w:color="auto"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Cs/>
                <w:sz w:val="21"/>
                <w:szCs w:val="21"/>
                <w:lang w:eastAsia="zh-CN"/>
              </w:rPr>
            </w:pPr>
            <w:r>
              <w:rPr>
                <w:rFonts w:hint="default" w:ascii="Times New Roman" w:hAnsi="Times New Roman" w:eastAsia="仿宋_GB2312" w:cs="Times New Roman"/>
                <w:bCs/>
                <w:sz w:val="21"/>
                <w:szCs w:val="21"/>
                <w:lang w:eastAsia="zh-CN"/>
              </w:rPr>
              <w:t>建议将</w:t>
            </w:r>
            <w:r>
              <w:rPr>
                <w:rFonts w:hint="default" w:ascii="Times New Roman" w:hAnsi="Times New Roman" w:eastAsia="仿宋_GB2312" w:cs="Times New Roman"/>
                <w:bCs/>
                <w:sz w:val="21"/>
                <w:szCs w:val="21"/>
                <w:lang w:val="en-US" w:eastAsia="zh-CN"/>
              </w:rPr>
              <w:t>P6（十五）中</w:t>
            </w:r>
            <w:r>
              <w:rPr>
                <w:rFonts w:hint="default" w:ascii="Times New Roman" w:hAnsi="Times New Roman" w:eastAsia="仿宋_GB2312" w:cs="Times New Roman"/>
                <w:bCs/>
                <w:sz w:val="21"/>
                <w:szCs w:val="21"/>
                <w:lang w:eastAsia="zh-CN"/>
              </w:rPr>
              <w:t>“购买主体应当开展政府购买服务项目事前绩效评估、事中绩效执行监控和事后绩效评价工作”删除。</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部分采纳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对按规定需开展事前绩效评估的政府购买服务项目，应当开展事前绩效评估。</w:t>
            </w: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val="0"/>
              <w:bidi w:val="0"/>
              <w:adjustRightInd/>
              <w:snapToGrid/>
              <w:spacing w:beforeLines="0" w:afterLines="0" w:line="280" w:lineRule="exact"/>
              <w:ind w:left="0" w:leftChars="0" w:right="0" w:rightChars="0" w:firstLine="0" w:firstLineChars="0"/>
              <w:jc w:val="left"/>
              <w:textAlignment w:val="center"/>
              <w:outlineLvl w:val="9"/>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舟山、丽水及厅绩效处均反映相同问题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80" w:hRule="atLeast"/>
        </w:trPr>
        <w:tc>
          <w:tcPr>
            <w:tcW w:w="510" w:type="dxa"/>
            <w:tcBorders>
              <w:top w:val="single" w:color="auto" w:sz="4" w:space="0"/>
              <w:left w:val="single" w:color="000000" w:sz="4" w:space="0"/>
              <w:bottom w:val="single" w:color="auto" w:sz="4" w:space="0"/>
              <w:right w:val="single" w:color="auto"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11</w:t>
            </w:r>
          </w:p>
        </w:tc>
        <w:tc>
          <w:tcPr>
            <w:tcW w:w="675" w:type="dxa"/>
            <w:vMerge w:val="restart"/>
            <w:tcBorders>
              <w:top w:val="single" w:color="auto" w:sz="4" w:space="0"/>
              <w:left w:val="single" w:color="auto" w:sz="4" w:space="0"/>
              <w:right w:val="single" w:color="000000" w:sz="4" w:space="0"/>
            </w:tcBorders>
            <w:tcMar>
              <w:top w:w="57" w:type="dxa"/>
              <w:left w:w="57" w:type="dxa"/>
              <w:bottom w:w="57" w:type="dxa"/>
              <w:right w:w="57" w:type="dxa"/>
            </w:tcMar>
            <w:vAlign w:val="center"/>
          </w:tcPr>
          <w:p>
            <w:pPr>
              <w:autoSpaceDN w:val="0"/>
              <w:spacing w:beforeLines="0" w:afterLines="0" w:line="280" w:lineRule="exact"/>
              <w:jc w:val="center"/>
              <w:textAlignment w:val="center"/>
              <w:rPr>
                <w:rFonts w:hint="default" w:ascii="Times New Roman" w:hAnsi="Times New Roman" w:eastAsia="仿宋_GB2312" w:cs="Times New Roman"/>
                <w:bCs/>
                <w:sz w:val="21"/>
                <w:szCs w:val="21"/>
                <w:lang w:eastAsia="zh-CN"/>
              </w:rPr>
            </w:pPr>
            <w:r>
              <w:rPr>
                <w:rFonts w:hint="default" w:ascii="Times New Roman" w:hAnsi="Times New Roman" w:eastAsia="仿宋_GB2312" w:cs="Times New Roman"/>
                <w:bCs/>
                <w:sz w:val="21"/>
                <w:szCs w:val="21"/>
                <w:lang w:eastAsia="zh-CN"/>
              </w:rPr>
              <w:t>舟山市</w:t>
            </w:r>
          </w:p>
        </w:tc>
        <w:tc>
          <w:tcPr>
            <w:tcW w:w="5865" w:type="dxa"/>
            <w:tcBorders>
              <w:top w:val="single" w:color="auto" w:sz="4" w:space="0"/>
              <w:left w:val="single" w:color="000000" w:sz="4" w:space="0"/>
              <w:bottom w:val="single" w:color="auto"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Cs/>
                <w:sz w:val="21"/>
                <w:szCs w:val="21"/>
                <w:lang w:eastAsia="zh-CN"/>
              </w:rPr>
            </w:pPr>
            <w:r>
              <w:rPr>
                <w:rFonts w:hint="default" w:ascii="Times New Roman" w:hAnsi="Times New Roman" w:eastAsia="仿宋_GB2312" w:cs="Times New Roman"/>
                <w:bCs/>
                <w:color w:val="000000"/>
                <w:sz w:val="21"/>
                <w:szCs w:val="21"/>
                <w:lang w:val="en-US" w:eastAsia="zh-CN"/>
              </w:rPr>
              <w:t>建议P3（五）中“</w:t>
            </w:r>
            <w:r>
              <w:rPr>
                <w:rFonts w:hint="default" w:ascii="Times New Roman" w:hAnsi="Times New Roman" w:eastAsia="仿宋_GB2312" w:cs="Times New Roman"/>
                <w:bCs/>
                <w:i w:val="0"/>
                <w:caps w:val="0"/>
                <w:color w:val="111F2C"/>
                <w:spacing w:val="0"/>
                <w:sz w:val="21"/>
                <w:szCs w:val="21"/>
                <w:shd w:val="clear" w:color="auto" w:fill="FFFFFF"/>
              </w:rPr>
              <w:t>对采用单一来源方式采购的政府购买服务项目，同级财政部门应严格把关，强化监管</w:t>
            </w:r>
            <w:r>
              <w:rPr>
                <w:rFonts w:hint="default" w:ascii="Times New Roman" w:hAnsi="Times New Roman" w:eastAsia="仿宋_GB2312" w:cs="Times New Roman"/>
                <w:bCs/>
                <w:i w:val="0"/>
                <w:caps w:val="0"/>
                <w:color w:val="111F2C"/>
                <w:spacing w:val="0"/>
                <w:sz w:val="21"/>
                <w:szCs w:val="21"/>
                <w:shd w:val="clear" w:color="auto" w:fill="FFFFFF"/>
                <w:lang w:eastAsia="zh-CN"/>
              </w:rPr>
              <w:t>”的表述</w:t>
            </w:r>
            <w:r>
              <w:rPr>
                <w:rFonts w:hint="default" w:ascii="Times New Roman" w:hAnsi="Times New Roman" w:eastAsia="仿宋_GB2312" w:cs="Times New Roman"/>
                <w:b w:val="0"/>
                <w:bCs/>
                <w:i w:val="0"/>
                <w:caps w:val="0"/>
                <w:color w:val="111F2C"/>
                <w:spacing w:val="0"/>
                <w:sz w:val="21"/>
                <w:szCs w:val="21"/>
                <w:shd w:val="clear" w:color="auto" w:fill="FFFFFF"/>
                <w:lang w:val="en-US" w:eastAsia="zh-CN"/>
              </w:rPr>
              <w:t>修改</w:t>
            </w:r>
            <w:r>
              <w:rPr>
                <w:rFonts w:hint="default" w:ascii="Times New Roman" w:hAnsi="Times New Roman" w:eastAsia="仿宋_GB2312" w:cs="Times New Roman"/>
                <w:bCs/>
                <w:i w:val="0"/>
                <w:caps w:val="0"/>
                <w:color w:val="111F2C"/>
                <w:spacing w:val="0"/>
                <w:sz w:val="21"/>
                <w:szCs w:val="21"/>
                <w:shd w:val="clear" w:color="auto" w:fill="FFFFFF"/>
                <w:lang w:val="en-US" w:eastAsia="zh-CN"/>
              </w:rPr>
              <w:t>为“</w:t>
            </w:r>
            <w:r>
              <w:rPr>
                <w:rFonts w:hint="default" w:ascii="Times New Roman" w:hAnsi="Times New Roman" w:eastAsia="仿宋_GB2312" w:cs="Times New Roman"/>
                <w:bCs/>
                <w:i w:val="0"/>
                <w:caps w:val="0"/>
                <w:color w:val="111F2C"/>
                <w:spacing w:val="0"/>
                <w:sz w:val="21"/>
                <w:szCs w:val="21"/>
                <w:shd w:val="clear" w:color="auto" w:fill="FFFFFF"/>
              </w:rPr>
              <w:t>对采用单一来源方式采购的政府购买服务项目，采购单位应严格对照相关</w:t>
            </w:r>
            <w:r>
              <w:rPr>
                <w:rFonts w:hint="default" w:ascii="Times New Roman" w:hAnsi="Times New Roman" w:eastAsia="仿宋_GB2312" w:cs="Times New Roman"/>
                <w:bCs/>
                <w:i w:val="0"/>
                <w:caps w:val="0"/>
                <w:color w:val="111F2C"/>
                <w:spacing w:val="0"/>
                <w:sz w:val="21"/>
                <w:szCs w:val="21"/>
                <w:shd w:val="clear" w:color="auto" w:fill="FFFFFF"/>
                <w:lang w:val="en-US" w:eastAsia="zh-CN"/>
              </w:rPr>
              <w:t>规</w:t>
            </w:r>
            <w:r>
              <w:rPr>
                <w:rFonts w:hint="default" w:ascii="Times New Roman" w:hAnsi="Times New Roman" w:eastAsia="仿宋_GB2312" w:cs="Times New Roman"/>
                <w:bCs/>
                <w:i w:val="0"/>
                <w:caps w:val="0"/>
                <w:color w:val="111F2C"/>
                <w:spacing w:val="0"/>
                <w:sz w:val="21"/>
                <w:szCs w:val="21"/>
                <w:shd w:val="clear" w:color="auto" w:fill="FFFFFF"/>
              </w:rPr>
              <w:t>定明确的适用情形</w:t>
            </w:r>
            <w:r>
              <w:rPr>
                <w:rFonts w:hint="default" w:ascii="Times New Roman" w:hAnsi="Times New Roman" w:eastAsia="仿宋_GB2312" w:cs="Times New Roman"/>
                <w:bCs/>
                <w:i w:val="0"/>
                <w:caps w:val="0"/>
                <w:color w:val="111F2C"/>
                <w:spacing w:val="0"/>
                <w:sz w:val="21"/>
                <w:szCs w:val="21"/>
                <w:shd w:val="clear" w:color="auto" w:fill="FFFFFF"/>
                <w:lang w:eastAsia="zh-CN"/>
              </w:rPr>
              <w:t>，</w:t>
            </w:r>
            <w:r>
              <w:rPr>
                <w:rFonts w:hint="default" w:ascii="Times New Roman" w:hAnsi="Times New Roman" w:eastAsia="仿宋_GB2312" w:cs="Times New Roman"/>
                <w:bCs/>
                <w:i w:val="0"/>
                <w:caps w:val="0"/>
                <w:color w:val="111F2C"/>
                <w:spacing w:val="0"/>
                <w:sz w:val="21"/>
                <w:szCs w:val="21"/>
                <w:shd w:val="clear" w:color="auto" w:fill="FFFFFF"/>
              </w:rPr>
              <w:t>同级财政部门应严格把关</w:t>
            </w:r>
            <w:r>
              <w:rPr>
                <w:rFonts w:hint="default" w:ascii="Times New Roman" w:hAnsi="Times New Roman" w:eastAsia="仿宋_GB2312" w:cs="Times New Roman"/>
                <w:bCs/>
                <w:i w:val="0"/>
                <w:caps w:val="0"/>
                <w:color w:val="111F2C"/>
                <w:spacing w:val="0"/>
                <w:sz w:val="21"/>
                <w:szCs w:val="21"/>
                <w:shd w:val="clear" w:color="auto" w:fill="FFFFFF"/>
                <w:lang w:eastAsia="zh-CN"/>
              </w:rPr>
              <w:t>，</w:t>
            </w:r>
            <w:r>
              <w:rPr>
                <w:rFonts w:hint="default" w:ascii="Times New Roman" w:hAnsi="Times New Roman" w:eastAsia="仿宋_GB2312" w:cs="Times New Roman"/>
                <w:bCs/>
                <w:i w:val="0"/>
                <w:caps w:val="0"/>
                <w:color w:val="111F2C"/>
                <w:spacing w:val="0"/>
                <w:sz w:val="21"/>
                <w:szCs w:val="21"/>
                <w:shd w:val="clear" w:color="auto" w:fill="FFFFFF"/>
              </w:rPr>
              <w:t>强化监管</w:t>
            </w:r>
            <w:r>
              <w:rPr>
                <w:rFonts w:hint="default" w:ascii="Times New Roman" w:hAnsi="Times New Roman" w:eastAsia="仿宋_GB2312" w:cs="Times New Roman"/>
                <w:bCs/>
                <w:i w:val="0"/>
                <w:caps w:val="0"/>
                <w:color w:val="111F2C"/>
                <w:spacing w:val="0"/>
                <w:sz w:val="21"/>
                <w:szCs w:val="21"/>
                <w:shd w:val="clear" w:color="auto" w:fill="FFFFFF"/>
                <w:lang w:eastAsia="zh-CN"/>
              </w:rPr>
              <w:t>”</w:t>
            </w:r>
            <w:r>
              <w:rPr>
                <w:rFonts w:hint="default" w:ascii="Times New Roman" w:hAnsi="Times New Roman" w:eastAsia="仿宋_GB2312" w:cs="Times New Roman"/>
                <w:bCs/>
                <w:i w:val="0"/>
                <w:caps w:val="0"/>
                <w:color w:val="111F2C"/>
                <w:spacing w:val="0"/>
                <w:sz w:val="21"/>
                <w:szCs w:val="21"/>
                <w:shd w:val="clear" w:color="auto" w:fill="FFFFFF"/>
              </w:rPr>
              <w:t>。</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已采纳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403" w:hRule="atLeast"/>
        </w:trPr>
        <w:tc>
          <w:tcPr>
            <w:tcW w:w="510" w:type="dxa"/>
            <w:tcBorders>
              <w:top w:val="single" w:color="auto" w:sz="4" w:space="0"/>
              <w:left w:val="single" w:color="000000" w:sz="4" w:space="0"/>
              <w:bottom w:val="single" w:color="auto" w:sz="4" w:space="0"/>
              <w:right w:val="single" w:color="auto"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12</w:t>
            </w:r>
          </w:p>
        </w:tc>
        <w:tc>
          <w:tcPr>
            <w:tcW w:w="675" w:type="dxa"/>
            <w:vMerge w:val="continue"/>
            <w:tcBorders>
              <w:left w:val="single" w:color="auto" w:sz="4" w:space="0"/>
              <w:right w:val="single" w:color="000000" w:sz="4" w:space="0"/>
            </w:tcBorders>
            <w:tcMar>
              <w:top w:w="57" w:type="dxa"/>
              <w:left w:w="57" w:type="dxa"/>
              <w:bottom w:w="57" w:type="dxa"/>
              <w:right w:w="57" w:type="dxa"/>
            </w:tcMar>
            <w:vAlign w:val="center"/>
          </w:tcPr>
          <w:p>
            <w:pPr>
              <w:autoSpaceDN w:val="0"/>
              <w:spacing w:beforeLines="0" w:afterLines="0" w:line="280" w:lineRule="exact"/>
              <w:textAlignment w:val="center"/>
              <w:rPr>
                <w:rFonts w:hint="default" w:ascii="Times New Roman" w:hAnsi="Times New Roman" w:eastAsia="仿宋_GB2312" w:cs="Times New Roman"/>
                <w:bCs/>
                <w:sz w:val="21"/>
                <w:szCs w:val="21"/>
                <w:lang w:eastAsia="zh-CN"/>
              </w:rPr>
            </w:pPr>
          </w:p>
        </w:tc>
        <w:tc>
          <w:tcPr>
            <w:tcW w:w="5865" w:type="dxa"/>
            <w:tcBorders>
              <w:top w:val="single" w:color="auto" w:sz="4" w:space="0"/>
              <w:left w:val="single" w:color="000000" w:sz="4" w:space="0"/>
              <w:bottom w:val="single" w:color="auto"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Cs/>
                <w:color w:val="000000"/>
                <w:sz w:val="21"/>
                <w:szCs w:val="21"/>
                <w:lang w:val="en-US" w:eastAsia="zh-CN"/>
              </w:rPr>
            </w:pPr>
            <w:r>
              <w:rPr>
                <w:rFonts w:hint="default" w:ascii="Times New Roman" w:hAnsi="Times New Roman" w:eastAsia="仿宋_GB2312" w:cs="Times New Roman"/>
                <w:bCs/>
                <w:color w:val="000000"/>
                <w:sz w:val="21"/>
                <w:szCs w:val="21"/>
                <w:lang w:val="en-US" w:eastAsia="zh-CN"/>
              </w:rPr>
              <w:t>建议将P5（十四）中“</w:t>
            </w:r>
            <w:r>
              <w:rPr>
                <w:rFonts w:hint="default" w:ascii="Times New Roman" w:hAnsi="Times New Roman" w:eastAsia="仿宋_GB2312" w:cs="Times New Roman"/>
                <w:bCs/>
                <w:sz w:val="21"/>
                <w:szCs w:val="21"/>
                <w:lang w:eastAsia="zh-CN"/>
              </w:rPr>
              <w:t>自</w:t>
            </w:r>
            <w:r>
              <w:rPr>
                <w:rFonts w:hint="default" w:ascii="Times New Roman" w:hAnsi="Times New Roman" w:eastAsia="仿宋_GB2312" w:cs="Times New Roman"/>
                <w:bCs/>
                <w:sz w:val="21"/>
                <w:szCs w:val="21"/>
                <w:lang w:val="en-US" w:eastAsia="zh-CN"/>
              </w:rPr>
              <w:t>2021年起，由公益二类事业单位承担并适宜由社会力量提供的服务事项，全部转为通过政府购买服务方式提供，并按规定公开择优确定承接主体”</w:t>
            </w:r>
            <w:r>
              <w:rPr>
                <w:rFonts w:hint="default" w:ascii="Times New Roman" w:hAnsi="Times New Roman" w:eastAsia="仿宋_GB2312" w:cs="Times New Roman"/>
                <w:b w:val="0"/>
                <w:bCs/>
                <w:sz w:val="21"/>
                <w:szCs w:val="21"/>
                <w:lang w:val="en-US" w:eastAsia="zh-CN"/>
              </w:rPr>
              <w:t>建议修改</w:t>
            </w:r>
            <w:r>
              <w:rPr>
                <w:rFonts w:hint="default" w:ascii="Times New Roman" w:hAnsi="Times New Roman" w:eastAsia="仿宋_GB2312" w:cs="Times New Roman"/>
                <w:bCs/>
                <w:sz w:val="21"/>
                <w:szCs w:val="21"/>
                <w:lang w:val="en-US" w:eastAsia="zh-CN"/>
              </w:rPr>
              <w:t>为“</w:t>
            </w:r>
            <w:r>
              <w:rPr>
                <w:rFonts w:hint="default" w:ascii="Times New Roman" w:hAnsi="Times New Roman" w:eastAsia="仿宋_GB2312" w:cs="Times New Roman"/>
                <w:bCs/>
                <w:sz w:val="21"/>
                <w:szCs w:val="21"/>
                <w:lang w:eastAsia="zh-CN"/>
              </w:rPr>
              <w:t>自</w:t>
            </w:r>
            <w:r>
              <w:rPr>
                <w:rFonts w:hint="default" w:ascii="Times New Roman" w:hAnsi="Times New Roman" w:eastAsia="仿宋_GB2312" w:cs="Times New Roman"/>
                <w:bCs/>
                <w:sz w:val="21"/>
                <w:szCs w:val="21"/>
                <w:lang w:val="en-US" w:eastAsia="zh-CN"/>
              </w:rPr>
              <w:t>2021年起，由公益二类事业单位承担并适宜由社会力量提供的服务事项，全部转为通过政府购买服务方式提供，并</w:t>
            </w:r>
            <w:r>
              <w:rPr>
                <w:rFonts w:hint="default" w:ascii="Times New Roman" w:hAnsi="Times New Roman" w:eastAsia="仿宋_GB2312" w:cs="Times New Roman"/>
                <w:b w:val="0"/>
                <w:bCs/>
                <w:sz w:val="21"/>
                <w:szCs w:val="21"/>
                <w:lang w:val="en-US" w:eastAsia="zh-CN"/>
              </w:rPr>
              <w:t>逐步采取</w:t>
            </w:r>
            <w:r>
              <w:rPr>
                <w:rFonts w:hint="default" w:ascii="Times New Roman" w:hAnsi="Times New Roman" w:eastAsia="仿宋_GB2312" w:cs="Times New Roman"/>
                <w:bCs/>
                <w:sz w:val="21"/>
                <w:szCs w:val="21"/>
                <w:lang w:val="en-US" w:eastAsia="zh-CN"/>
              </w:rPr>
              <w:t>按规定公开择优方式确定承接主体”。</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部分采纳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N w:val="0"/>
              <w:spacing w:beforeLines="0" w:afterLines="0" w:line="280" w:lineRule="exact"/>
              <w:jc w:val="both"/>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Cs/>
                <w:sz w:val="21"/>
                <w:szCs w:val="21"/>
                <w:lang w:eastAsia="zh-CN"/>
              </w:rPr>
              <w:t>《浙江省事业单位政府购买服务改革工作实施方案》</w:t>
            </w:r>
            <w:bookmarkStart w:id="0" w:name="hallSendFileSendNo"/>
            <w:r>
              <w:rPr>
                <w:rFonts w:hint="default" w:ascii="Times New Roman" w:hAnsi="Times New Roman" w:eastAsia="仿宋_GB2312" w:cs="Times New Roman"/>
                <w:bCs/>
                <w:sz w:val="21"/>
                <w:szCs w:val="21"/>
                <w:lang w:eastAsia="zh-CN"/>
              </w:rPr>
              <w:t>浙财综〔2018〕1号</w:t>
            </w:r>
            <w:bookmarkEnd w:id="0"/>
            <w:r>
              <w:rPr>
                <w:rFonts w:hint="default" w:ascii="Times New Roman" w:hAnsi="Times New Roman" w:eastAsia="仿宋_GB2312" w:cs="Times New Roman"/>
                <w:bCs/>
                <w:sz w:val="21"/>
                <w:szCs w:val="21"/>
                <w:lang w:eastAsia="zh-CN"/>
              </w:rPr>
              <w:t>规定，</w:t>
            </w:r>
            <w:r>
              <w:rPr>
                <w:rFonts w:hint="default" w:ascii="Times New Roman" w:hAnsi="Times New Roman" w:eastAsia="仿宋_GB2312" w:cs="Times New Roman"/>
                <w:bCs/>
                <w:sz w:val="21"/>
                <w:szCs w:val="21"/>
              </w:rPr>
              <w:t>到2020年底，事业单位政府购买服务改革工作全面推开，事业单位提供公共服务的能力和水平显著提升</w:t>
            </w:r>
            <w:r>
              <w:rPr>
                <w:rFonts w:hint="default" w:ascii="Times New Roman" w:hAnsi="Times New Roman" w:eastAsia="仿宋_GB2312" w:cs="Times New Roman"/>
                <w:bCs/>
                <w:sz w:val="21"/>
                <w:szCs w:val="21"/>
                <w:lang w:eastAsia="zh-CN"/>
              </w:rPr>
              <w:t>。并强调：</w:t>
            </w:r>
            <w:r>
              <w:rPr>
                <w:rFonts w:hint="default" w:ascii="Times New Roman" w:hAnsi="Times New Roman" w:eastAsia="仿宋_GB2312" w:cs="Times New Roman"/>
                <w:bCs/>
                <w:sz w:val="21"/>
                <w:szCs w:val="21"/>
              </w:rPr>
              <w:t>对有财政经费保障的事业单位职能和人员进行再梳理，建立参与政府购买服务改革的事业单位财政经费保障与人员编制管理的协调约束机制，增强事业单位分类改革内生力。</w:t>
            </w:r>
            <w:r>
              <w:rPr>
                <w:rFonts w:hint="default" w:ascii="Times New Roman" w:hAnsi="Times New Roman" w:eastAsia="仿宋_GB2312" w:cs="Times New Roman"/>
                <w:bCs/>
                <w:sz w:val="21"/>
                <w:szCs w:val="21"/>
                <w:lang w:eastAsia="zh-CN"/>
              </w:rPr>
              <w:t>文中有关表述与政策规定相符。为做好政策缓冲，修改为“</w:t>
            </w:r>
            <w:r>
              <w:rPr>
                <w:rFonts w:hint="default" w:ascii="Times New Roman" w:hAnsi="Times New Roman" w:eastAsia="仿宋_GB2312" w:cs="Times New Roman"/>
                <w:bCs/>
                <w:sz w:val="21"/>
                <w:szCs w:val="21"/>
              </w:rPr>
              <w:t>并按规定择优确定承接主体</w:t>
            </w:r>
            <w:r>
              <w:rPr>
                <w:rFonts w:hint="default" w:ascii="Times New Roman" w:hAnsi="Times New Roman" w:eastAsia="仿宋_GB2312" w:cs="Times New Roman"/>
                <w:bCs/>
                <w:sz w:val="21"/>
                <w:szCs w:val="21"/>
                <w:lang w:eastAsia="zh-CN"/>
              </w:rPr>
              <w:t>”。</w:t>
            </w: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厅科教处提出相关建议，也予以采纳。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80" w:hRule="atLeast"/>
        </w:trPr>
        <w:tc>
          <w:tcPr>
            <w:tcW w:w="510" w:type="dxa"/>
            <w:tcBorders>
              <w:top w:val="single" w:color="auto" w:sz="4" w:space="0"/>
              <w:left w:val="single" w:color="000000" w:sz="4" w:space="0"/>
              <w:bottom w:val="single" w:color="auto" w:sz="4" w:space="0"/>
              <w:right w:val="single" w:color="auto"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13</w:t>
            </w:r>
          </w:p>
        </w:tc>
        <w:tc>
          <w:tcPr>
            <w:tcW w:w="675" w:type="dxa"/>
            <w:tcBorders>
              <w:left w:val="single" w:color="auto" w:sz="4" w:space="0"/>
              <w:bottom w:val="single" w:color="auto" w:sz="4" w:space="0"/>
              <w:right w:val="single" w:color="000000" w:sz="4" w:space="0"/>
            </w:tcBorders>
            <w:tcMar>
              <w:top w:w="57" w:type="dxa"/>
              <w:left w:w="57" w:type="dxa"/>
              <w:bottom w:w="57" w:type="dxa"/>
              <w:right w:w="57" w:type="dxa"/>
            </w:tcMar>
            <w:vAlign w:val="center"/>
          </w:tcPr>
          <w:p>
            <w:pPr>
              <w:autoSpaceDN w:val="0"/>
              <w:spacing w:beforeLines="0" w:afterLines="0" w:line="280" w:lineRule="exact"/>
              <w:jc w:val="center"/>
              <w:textAlignment w:val="center"/>
              <w:rPr>
                <w:rFonts w:hint="default" w:ascii="Times New Roman" w:hAnsi="Times New Roman" w:eastAsia="仿宋_GB2312" w:cs="Times New Roman"/>
                <w:bCs/>
                <w:sz w:val="21"/>
                <w:szCs w:val="21"/>
                <w:lang w:eastAsia="zh-CN"/>
              </w:rPr>
            </w:pPr>
          </w:p>
        </w:tc>
        <w:tc>
          <w:tcPr>
            <w:tcW w:w="5865" w:type="dxa"/>
            <w:tcBorders>
              <w:top w:val="single" w:color="auto" w:sz="4" w:space="0"/>
              <w:left w:val="single" w:color="000000" w:sz="4" w:space="0"/>
              <w:bottom w:val="single" w:color="auto"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Cs/>
                <w:color w:val="000000"/>
                <w:sz w:val="21"/>
                <w:szCs w:val="21"/>
                <w:lang w:val="en-US" w:eastAsia="zh-CN"/>
              </w:rPr>
            </w:pPr>
            <w:r>
              <w:rPr>
                <w:rFonts w:hint="default" w:ascii="Times New Roman" w:hAnsi="Times New Roman" w:eastAsia="仿宋_GB2312" w:cs="Times New Roman"/>
                <w:bCs/>
                <w:sz w:val="21"/>
                <w:szCs w:val="21"/>
              </w:rPr>
              <w:t>（十六）</w:t>
            </w:r>
            <w:r>
              <w:rPr>
                <w:rFonts w:hint="default" w:ascii="Times New Roman" w:hAnsi="Times New Roman" w:eastAsia="仿宋_GB2312" w:cs="Times New Roman"/>
                <w:bCs/>
                <w:sz w:val="21"/>
                <w:szCs w:val="21"/>
                <w:lang w:eastAsia="zh-CN"/>
              </w:rPr>
              <w:t>中</w:t>
            </w:r>
            <w:r>
              <w:rPr>
                <w:rFonts w:hint="default" w:ascii="Times New Roman" w:hAnsi="Times New Roman" w:eastAsia="仿宋_GB2312" w:cs="Times New Roman"/>
                <w:bCs/>
                <w:sz w:val="21"/>
                <w:szCs w:val="21"/>
              </w:rPr>
              <w:t>“充分发挥第三方评价机构作用”与后文“对具备条件的项目积极引入第三方机构开展绩效评价。”中对“第三方”的表述不一致。根据《浙江省全面落实预算绩效管理三年行动计划（2019-2021年）》有关表述，</w:t>
            </w:r>
            <w:r>
              <w:rPr>
                <w:rFonts w:hint="default" w:ascii="Times New Roman" w:hAnsi="Times New Roman" w:eastAsia="仿宋_GB2312" w:cs="Times New Roman"/>
                <w:b w:val="0"/>
                <w:bCs/>
                <w:sz w:val="21"/>
                <w:szCs w:val="21"/>
                <w:lang w:val="en-US" w:eastAsia="zh-CN"/>
              </w:rPr>
              <w:t>建议</w:t>
            </w:r>
            <w:r>
              <w:rPr>
                <w:rFonts w:hint="default" w:ascii="Times New Roman" w:hAnsi="Times New Roman" w:eastAsia="仿宋_GB2312" w:cs="Times New Roman"/>
                <w:bCs/>
                <w:sz w:val="21"/>
                <w:szCs w:val="21"/>
              </w:rPr>
              <w:t>去掉“评价”二字，</w:t>
            </w:r>
            <w:r>
              <w:rPr>
                <w:rFonts w:hint="default" w:ascii="Times New Roman" w:hAnsi="Times New Roman" w:eastAsia="仿宋_GB2312" w:cs="Times New Roman"/>
                <w:bCs/>
                <w:sz w:val="21"/>
                <w:szCs w:val="21"/>
                <w:lang w:val="en-US" w:eastAsia="zh-CN"/>
              </w:rPr>
              <w:t>统一</w:t>
            </w:r>
            <w:r>
              <w:rPr>
                <w:rFonts w:hint="default" w:ascii="Times New Roman" w:hAnsi="Times New Roman" w:eastAsia="仿宋_GB2312" w:cs="Times New Roman"/>
                <w:bCs/>
                <w:sz w:val="21"/>
                <w:szCs w:val="21"/>
              </w:rPr>
              <w:t>表述为“第三方机构”。</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已采纳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N w:val="0"/>
              <w:spacing w:beforeLines="0" w:afterLines="0" w:line="280" w:lineRule="exact"/>
              <w:jc w:val="left"/>
              <w:textAlignment w:val="center"/>
              <w:rPr>
                <w:rFonts w:hint="default" w:ascii="Times New Roman" w:hAnsi="Times New Roman" w:eastAsia="仿宋_GB2312" w:cs="Times New Roman"/>
                <w:bCs/>
                <w:sz w:val="21"/>
                <w:szCs w:val="21"/>
                <w:lang w:eastAsia="zh-CN"/>
              </w:rPr>
            </w:pP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195" w:hRule="atLeast"/>
        </w:trPr>
        <w:tc>
          <w:tcPr>
            <w:tcW w:w="510" w:type="dxa"/>
            <w:tcBorders>
              <w:top w:val="single" w:color="auto" w:sz="4" w:space="0"/>
              <w:left w:val="single" w:color="000000" w:sz="4" w:space="0"/>
              <w:bottom w:val="single" w:color="auto" w:sz="4" w:space="0"/>
              <w:right w:val="single" w:color="auto"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val="en-US" w:eastAsia="zh-CN"/>
              </w:rPr>
            </w:pPr>
            <w:r>
              <w:rPr>
                <w:rFonts w:hint="default" w:ascii="Times New Roman" w:hAnsi="Times New Roman" w:eastAsia="仿宋_GB2312" w:cs="Times New Roman"/>
                <w:b w:val="0"/>
                <w:bCs/>
                <w:i w:val="0"/>
                <w:snapToGrid/>
                <w:color w:val="000000"/>
                <w:sz w:val="21"/>
                <w:szCs w:val="21"/>
                <w:u w:val="none"/>
                <w:lang w:val="en-US" w:eastAsia="zh-CN"/>
              </w:rPr>
              <w:t>14</w:t>
            </w:r>
          </w:p>
        </w:tc>
        <w:tc>
          <w:tcPr>
            <w:tcW w:w="675" w:type="dxa"/>
            <w:tcBorders>
              <w:top w:val="single" w:color="auto" w:sz="4" w:space="0"/>
              <w:left w:val="single" w:color="auto" w:sz="4" w:space="0"/>
              <w:bottom w:val="single" w:color="auto" w:sz="4" w:space="0"/>
              <w:right w:val="single" w:color="000000" w:sz="4" w:space="0"/>
            </w:tcBorders>
            <w:tcMar>
              <w:top w:w="57" w:type="dxa"/>
              <w:left w:w="57" w:type="dxa"/>
              <w:bottom w:w="57" w:type="dxa"/>
              <w:right w:w="57" w:type="dxa"/>
            </w:tcMar>
            <w:vAlign w:val="center"/>
          </w:tcPr>
          <w:p>
            <w:pPr>
              <w:autoSpaceDN w:val="0"/>
              <w:spacing w:beforeLines="0" w:afterLines="0" w:line="280" w:lineRule="exact"/>
              <w:jc w:val="center"/>
              <w:textAlignment w:val="center"/>
              <w:rPr>
                <w:rFonts w:hint="default" w:ascii="Times New Roman" w:hAnsi="Times New Roman" w:eastAsia="仿宋_GB2312" w:cs="Times New Roman"/>
                <w:bCs/>
                <w:sz w:val="21"/>
                <w:szCs w:val="21"/>
                <w:lang w:eastAsia="zh-CN"/>
              </w:rPr>
            </w:pPr>
            <w:r>
              <w:rPr>
                <w:rFonts w:hint="default" w:ascii="Times New Roman" w:hAnsi="Times New Roman" w:eastAsia="仿宋_GB2312" w:cs="Times New Roman"/>
                <w:bCs/>
                <w:sz w:val="21"/>
                <w:szCs w:val="21"/>
                <w:lang w:eastAsia="zh-CN"/>
              </w:rPr>
              <w:t>丽水市</w:t>
            </w:r>
          </w:p>
        </w:tc>
        <w:tc>
          <w:tcPr>
            <w:tcW w:w="5865" w:type="dxa"/>
            <w:tcBorders>
              <w:top w:val="single" w:color="auto" w:sz="4" w:space="0"/>
              <w:left w:val="single" w:color="000000" w:sz="4" w:space="0"/>
              <w:bottom w:val="single" w:color="auto"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both"/>
              <w:textAlignment w:val="center"/>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lang w:val="en-US" w:eastAsia="zh-CN"/>
              </w:rPr>
              <w:t>建议将P5(十三）中“</w:t>
            </w:r>
            <w:r>
              <w:rPr>
                <w:rFonts w:hint="default" w:ascii="Times New Roman" w:hAnsi="Times New Roman" w:eastAsia="仿宋_GB2312" w:cs="Times New Roman"/>
                <w:bCs/>
                <w:color w:val="000000"/>
                <w:sz w:val="21"/>
                <w:szCs w:val="21"/>
              </w:rPr>
              <w:t>随着政府公共服务职能的调整和转变，</w:t>
            </w:r>
            <w:r>
              <w:rPr>
                <w:rFonts w:hint="default" w:ascii="Times New Roman" w:hAnsi="Times New Roman" w:eastAsia="仿宋_GB2312" w:cs="Times New Roman"/>
                <w:bCs/>
                <w:sz w:val="21"/>
                <w:szCs w:val="21"/>
              </w:rPr>
              <w:t>相应调整或核减事业单位机构数量、人员编制</w:t>
            </w:r>
            <w:r>
              <w:rPr>
                <w:rFonts w:hint="default" w:ascii="Times New Roman" w:hAnsi="Times New Roman" w:eastAsia="仿宋_GB2312" w:cs="Times New Roman"/>
                <w:bCs/>
                <w:sz w:val="21"/>
                <w:szCs w:val="21"/>
                <w:lang w:eastAsia="zh-CN"/>
              </w:rPr>
              <w:t>”修改为“</w:t>
            </w:r>
            <w:r>
              <w:rPr>
                <w:rFonts w:hint="default" w:ascii="Times New Roman" w:hAnsi="Times New Roman" w:eastAsia="仿宋_GB2312" w:cs="Times New Roman"/>
                <w:bCs/>
                <w:color w:val="000000"/>
                <w:sz w:val="21"/>
                <w:szCs w:val="21"/>
              </w:rPr>
              <w:t>随着政府公共服务职能的调整和转变，</w:t>
            </w:r>
            <w:r>
              <w:rPr>
                <w:rFonts w:hint="default" w:ascii="Times New Roman" w:hAnsi="Times New Roman" w:eastAsia="仿宋_GB2312" w:cs="Times New Roman"/>
                <w:bCs/>
                <w:color w:val="000000"/>
                <w:sz w:val="21"/>
                <w:szCs w:val="21"/>
                <w:lang w:eastAsia="zh-CN"/>
              </w:rPr>
              <w:t>有关部门</w:t>
            </w:r>
            <w:r>
              <w:rPr>
                <w:rFonts w:hint="default" w:ascii="Times New Roman" w:hAnsi="Times New Roman" w:eastAsia="仿宋_GB2312" w:cs="Times New Roman"/>
                <w:bCs/>
                <w:sz w:val="21"/>
                <w:szCs w:val="21"/>
              </w:rPr>
              <w:t>相应调整事业单位机构数量、人员编制</w:t>
            </w:r>
            <w:r>
              <w:rPr>
                <w:rFonts w:hint="default" w:ascii="Times New Roman" w:hAnsi="Times New Roman" w:eastAsia="仿宋_GB2312" w:cs="Times New Roman"/>
                <w:bCs/>
                <w:sz w:val="21"/>
                <w:szCs w:val="21"/>
                <w:lang w:eastAsia="zh-CN"/>
              </w:rPr>
              <w:t>，</w:t>
            </w:r>
            <w:r>
              <w:rPr>
                <w:rFonts w:hint="default" w:ascii="Times New Roman" w:hAnsi="Times New Roman" w:eastAsia="仿宋_GB2312" w:cs="Times New Roman"/>
                <w:bCs/>
                <w:color w:val="000000"/>
                <w:sz w:val="21"/>
                <w:szCs w:val="21"/>
              </w:rPr>
              <w:t>倒逼事业单位由“养人”向“办事”转变</w:t>
            </w:r>
            <w:r>
              <w:rPr>
                <w:rFonts w:hint="default" w:ascii="Times New Roman" w:hAnsi="Times New Roman" w:eastAsia="仿宋_GB2312" w:cs="Times New Roman"/>
                <w:bCs/>
                <w:color w:val="000000"/>
                <w:sz w:val="21"/>
                <w:szCs w:val="21"/>
                <w:lang w:eastAsia="zh-CN"/>
              </w:rPr>
              <w:t>，推进</w:t>
            </w:r>
            <w:r>
              <w:rPr>
                <w:rFonts w:hint="default" w:ascii="Times New Roman" w:hAnsi="Times New Roman" w:eastAsia="仿宋_GB2312" w:cs="Times New Roman"/>
                <w:bCs/>
                <w:sz w:val="21"/>
                <w:szCs w:val="21"/>
              </w:rPr>
              <w:t>费随事转，人随事改</w:t>
            </w:r>
            <w:r>
              <w:rPr>
                <w:rFonts w:hint="default" w:ascii="Times New Roman" w:hAnsi="Times New Roman" w:eastAsia="仿宋_GB2312" w:cs="Times New Roman"/>
                <w:bCs/>
                <w:sz w:val="21"/>
                <w:szCs w:val="21"/>
                <w:lang w:eastAsia="zh-CN"/>
              </w:rPr>
              <w:t>”。</w:t>
            </w:r>
          </w:p>
        </w:tc>
        <w:tc>
          <w:tcPr>
            <w:tcW w:w="130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r>
              <w:rPr>
                <w:rFonts w:hint="default" w:ascii="Times New Roman" w:hAnsi="Times New Roman" w:eastAsia="仿宋_GB2312" w:cs="Times New Roman"/>
                <w:b w:val="0"/>
                <w:bCs/>
                <w:i w:val="0"/>
                <w:snapToGrid/>
                <w:color w:val="000000"/>
                <w:sz w:val="21"/>
                <w:szCs w:val="21"/>
                <w:u w:val="none"/>
                <w:lang w:eastAsia="zh-CN"/>
              </w:rPr>
              <w:t>已采纳</w:t>
            </w:r>
          </w:p>
        </w:tc>
        <w:tc>
          <w:tcPr>
            <w:tcW w:w="38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N w:val="0"/>
              <w:spacing w:beforeLines="0" w:afterLines="0" w:line="280" w:lineRule="exact"/>
              <w:jc w:val="left"/>
              <w:textAlignment w:val="center"/>
              <w:rPr>
                <w:rFonts w:hint="default" w:ascii="Times New Roman" w:hAnsi="Times New Roman" w:eastAsia="仿宋_GB2312" w:cs="Times New Roman"/>
                <w:bCs/>
                <w:sz w:val="21"/>
                <w:szCs w:val="21"/>
                <w:lang w:eastAsia="zh-CN"/>
              </w:rPr>
            </w:pPr>
          </w:p>
        </w:tc>
        <w:tc>
          <w:tcPr>
            <w:tcW w:w="112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center"/>
              <w:textAlignment w:val="center"/>
              <w:rPr>
                <w:rFonts w:hint="default" w:ascii="Times New Roman" w:hAnsi="Times New Roman" w:eastAsia="仿宋_GB2312" w:cs="Times New Roman"/>
                <w:b w:val="0"/>
                <w:bCs/>
                <w:i w:val="0"/>
                <w:snapToGrid/>
                <w:color w:val="000000"/>
                <w:sz w:val="21"/>
                <w:szCs w:val="21"/>
                <w:u w:val="none"/>
                <w:lang w:eastAsia="zh-CN"/>
              </w:rPr>
            </w:pPr>
          </w:p>
        </w:tc>
        <w:tc>
          <w:tcPr>
            <w:tcW w:w="765"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kinsoku/>
              <w:autoSpaceDE/>
              <w:autoSpaceDN w:val="0"/>
              <w:spacing w:beforeLines="0" w:afterLines="0" w:line="280" w:lineRule="exact"/>
              <w:jc w:val="left"/>
              <w:textAlignment w:val="center"/>
              <w:rPr>
                <w:rFonts w:hint="default" w:ascii="Times New Roman" w:hAnsi="Times New Roman" w:eastAsia="仿宋_GB2312" w:cs="Times New Roman"/>
                <w:b w:val="0"/>
                <w:bCs/>
                <w:i w:val="0"/>
                <w:snapToGrid/>
                <w:color w:val="000000"/>
                <w:sz w:val="21"/>
                <w:szCs w:val="21"/>
                <w:u w:val="none"/>
                <w:lang w:eastAsia="zh-CN"/>
              </w:rPr>
            </w:pPr>
          </w:p>
        </w:tc>
      </w:tr>
    </w:tbl>
    <w:p>
      <w:pPr>
        <w:jc w:val="center"/>
        <w:rPr>
          <w:rFonts w:hint="eastAsia" w:ascii="宋体" w:hAnsi="宋体" w:eastAsia="宋体" w:cs="宋体"/>
          <w:b/>
          <w:bCs/>
          <w:sz w:val="44"/>
          <w:szCs w:val="44"/>
          <w:lang w:val="en-US" w:eastAsia="zh-CN"/>
        </w:rPr>
      </w:pPr>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A5ED3"/>
    <w:rsid w:val="60DA5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2021-05-19T23:56:00Z</dcterms:created>
  <dc:creator>张志华</dc:creator>
  <cp:lastModifiedBy>张志华</cp:lastModifiedBy>
  <dcterms:modified xsi:type="dcterms:W3CDTF">2021-05-19T23:57:31Z</dcterms:modified>
  <dc:title>《关于进一步加强和规范政府购买服务管理的通知（征求意见稿）》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