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征求部门意见及采纳情况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说明</w:t>
      </w:r>
    </w:p>
    <w:p>
      <w:pPr>
        <w:rPr>
          <w:rFonts w:hint="eastAsia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本《实施细则》已由省财政厅会同省农业农村厅以书面形式征求各市、县（市、区）财政局、农业农村局（不含宁波）意见，并于2021年3月26日起在省财政厅门户网站主动公开征求意见7个工作日，无反馈意见。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93AC6"/>
    <w:rsid w:val="55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2021-06-08T03:46:00Z</dcterms:created>
  <dc:creator>张志华</dc:creator>
  <cp:lastModifiedBy>张志华</cp:lastModifiedBy>
  <dcterms:modified xsi:type="dcterms:W3CDTF">2021-06-08T03:46:33Z</dcterms:modified>
  <dc:title>征求部门意见及采纳情况说明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