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华文隶书" w:hAnsi="华文隶书" w:eastAsia="华文隶书"/>
          <w:b/>
          <w:color w:val="FF0000"/>
          <w:sz w:val="60"/>
          <w:szCs w:val="32"/>
          <w:lang w:eastAsia="zh-CN"/>
        </w:rPr>
      </w:pPr>
      <w:r>
        <w:rPr>
          <w:rFonts w:hint="eastAsia" w:ascii="华文隶书" w:hAnsi="华文隶书" w:eastAsia="华文隶书"/>
          <w:b/>
          <w:color w:val="FF0000"/>
          <w:sz w:val="60"/>
          <w:szCs w:val="32"/>
          <w:lang w:eastAsia="zh-CN"/>
        </w:rPr>
        <w:t>省财政厅妇委会学习资料</w:t>
      </w:r>
    </w:p>
    <w:p>
      <w:pPr>
        <w:jc w:val="center"/>
        <w:rPr>
          <w:rFonts w:hint="eastAsia" w:ascii="楷体_GB2312" w:hAnsi="楷体_GB2312" w:eastAsia="楷体_GB2312"/>
          <w:b/>
          <w:sz w:val="32"/>
          <w:szCs w:val="32"/>
          <w:lang w:eastAsia="zh-CN"/>
        </w:rPr>
      </w:pPr>
      <w:r>
        <w:rPr>
          <w:rFonts w:hint="eastAsia" w:ascii="楷体_GB2312" w:hAnsi="楷体_GB2312" w:eastAsia="楷体_GB2312"/>
          <w:b/>
          <w:sz w:val="32"/>
          <w:szCs w:val="32"/>
          <w:lang w:eastAsia="zh-CN"/>
        </w:rPr>
        <w:t>第四十四期</w:t>
      </w:r>
    </w:p>
    <w:p>
      <w:pPr>
        <w:jc w:val="left"/>
        <w:rPr>
          <w:rFonts w:hint="eastAsia" w:ascii="楷体_GB2312" w:hAnsi="楷体_GB2312" w:eastAsia="楷体_GB2312"/>
          <w:b/>
          <w:sz w:val="32"/>
          <w:szCs w:val="32"/>
          <w:lang w:val="en-US" w:eastAsia="zh-CN"/>
        </w:rPr>
      </w:pPr>
    </w:p>
    <w:p>
      <w:pPr>
        <w:jc w:val="center"/>
        <w:rPr>
          <w:rFonts w:hint="eastAsia" w:ascii="楷体_GB2312" w:hAnsi="楷体_GB2312" w:eastAsia="楷体_GB2312"/>
          <w:b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/>
          <w:b/>
          <w:sz w:val="32"/>
          <w:szCs w:val="32"/>
          <w:lang w:val="en-US" w:eastAsia="zh-CN"/>
        </w:rPr>
        <w:t>厅妇委会编                            2020年4月</w:t>
      </w:r>
      <w:bookmarkStart w:id="0" w:name="_GoBack"/>
      <w:bookmarkEnd w:id="0"/>
    </w:p>
    <w:p>
      <w:pPr>
        <w:jc w:val="left"/>
        <w:rPr>
          <w:rFonts w:hint="eastAsia" w:ascii="华文行楷" w:hAnsi="华文行楷" w:eastAsia="华文行楷"/>
          <w:b w:val="0"/>
          <w:bCs/>
          <w:sz w:val="36"/>
          <w:szCs w:val="32"/>
          <w:lang w:val="en-US" w:eastAsia="zh-CN"/>
        </w:rPr>
      </w:pPr>
      <w:r>
        <w:rPr>
          <w:rFonts w:hint="eastAsia" w:ascii="华文行楷" w:hAnsi="华文行楷" w:eastAsia="华文行楷"/>
          <w:b w:val="0"/>
          <w:bCs/>
          <w:sz w:val="36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36830</wp:posOffset>
                </wp:positionH>
                <wp:positionV relativeFrom="paragraph">
                  <wp:posOffset>83185</wp:posOffset>
                </wp:positionV>
                <wp:extent cx="5372100" cy="635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72100" cy="635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.9pt;margin-top:6.55pt;height:0.05pt;width:423pt;z-index:251658240;mso-width-relative:page;mso-height-relative:page;" filled="f" stroked="t" coordsize="21600,21600" o:gfxdata="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OjoptbVAAAABwEAAA8A&#10;AAAAAAAAAQAgAAAAIgAAAGRycy9kb3ducmV2LnhtbFBLAQIUABQAAAAIAIdO4kAM1Iw14QEAAKcD&#10;AAAOAAAAAAAAAAEAIAAAACQBAABkcnMvZTJvRG9jLnhtbFBLBQYAAAAABgAGAFkBAAB3BQAAAAA=&#10;">
                <v:fill on="f" focussize="0,0"/>
                <v:stroke weight="1.5pt" color="#FF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widowControl/>
        <w:spacing w:before="100" w:beforeAutospacing="1" w:after="100" w:afterAutospacing="1" w:line="450" w:lineRule="atLeast"/>
        <w:jc w:val="center"/>
        <w:outlineLvl w:val="1"/>
        <w:rPr>
          <w:rFonts w:hint="default" w:ascii="华文行楷" w:hAnsi="华文行楷" w:eastAsia="华文行楷"/>
          <w:b w:val="0"/>
          <w:bCs/>
          <w:sz w:val="36"/>
          <w:szCs w:val="32"/>
          <w:lang w:val="en-US" w:eastAsia="zh-CN"/>
        </w:rPr>
      </w:pPr>
      <w:r>
        <w:rPr>
          <w:rFonts w:hint="default" w:ascii="华文行楷" w:hAnsi="华文行楷" w:eastAsia="华文行楷"/>
          <w:b w:val="0"/>
          <w:bCs/>
          <w:sz w:val="36"/>
          <w:szCs w:val="32"/>
          <w:lang w:val="en-US" w:eastAsia="zh-CN"/>
        </w:rPr>
        <w:t>总书记浙江行</w:t>
      </w:r>
      <w:r>
        <w:rPr>
          <w:rFonts w:hint="eastAsia" w:ascii="华文行楷" w:hAnsi="华文行楷" w:eastAsia="华文行楷"/>
          <w:b w:val="0"/>
          <w:bCs/>
          <w:sz w:val="36"/>
          <w:szCs w:val="32"/>
          <w:lang w:val="en-US" w:eastAsia="zh-CN"/>
        </w:rPr>
        <w:t>——</w:t>
      </w:r>
    </w:p>
    <w:p>
      <w:pPr>
        <w:widowControl/>
        <w:spacing w:before="100" w:beforeAutospacing="1" w:after="100" w:afterAutospacing="1" w:line="450" w:lineRule="atLeast"/>
        <w:jc w:val="center"/>
        <w:outlineLvl w:val="1"/>
        <w:rPr>
          <w:rFonts w:hint="default" w:ascii="华文行楷" w:hAnsi="华文行楷" w:eastAsia="华文行楷"/>
          <w:b w:val="0"/>
          <w:bCs/>
          <w:sz w:val="36"/>
          <w:szCs w:val="32"/>
          <w:lang w:val="en-US" w:eastAsia="zh-CN"/>
        </w:rPr>
      </w:pPr>
      <w:r>
        <w:rPr>
          <w:rFonts w:hint="default" w:ascii="华文行楷" w:hAnsi="华文行楷" w:eastAsia="华文行楷"/>
          <w:b w:val="0"/>
          <w:bCs/>
          <w:sz w:val="36"/>
          <w:szCs w:val="32"/>
          <w:lang w:val="en-US" w:eastAsia="zh-CN"/>
        </w:rPr>
        <w:t>15年来，习近平不断发展深化这个理念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leftChars="0" w:right="0" w:rightChars="0" w:firstLine="0" w:firstLineChars="0"/>
        <w:jc w:val="center"/>
        <w:textAlignment w:val="auto"/>
        <w:rPr>
          <w:rFonts w:hint="eastAsia" w:ascii="仿宋_GB2312" w:hAnsi="仿宋_GB2312" w:eastAsia="仿宋_GB2312" w:cs="Times New Roman"/>
          <w:kern w:val="2"/>
          <w:sz w:val="30"/>
          <w:szCs w:val="22"/>
          <w:lang w:val="en-US" w:eastAsia="zh-CN" w:bidi="ar-SA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leftChars="0" w:right="0" w:rightChars="0" w:firstLine="600" w:firstLineChars="0"/>
        <w:jc w:val="left"/>
        <w:textAlignment w:val="auto"/>
        <w:rPr>
          <w:rFonts w:hint="eastAsia" w:ascii="仿宋_GB2312" w:hAnsi="仿宋_GB2312" w:eastAsia="仿宋_GB2312" w:cs="Times New Roman"/>
          <w:kern w:val="2"/>
          <w:sz w:val="30"/>
          <w:szCs w:val="22"/>
          <w:lang w:val="en-US" w:eastAsia="zh-CN" w:bidi="ar-SA"/>
        </w:rPr>
      </w:pPr>
      <w:r>
        <w:rPr>
          <w:rFonts w:hint="default" w:ascii="仿宋_GB2312" w:hAnsi="仿宋_GB2312" w:eastAsia="仿宋_GB2312" w:cs="Times New Roman"/>
          <w:kern w:val="2"/>
          <w:sz w:val="30"/>
          <w:szCs w:val="22"/>
          <w:lang w:val="en-US" w:eastAsia="zh-CN" w:bidi="ar-SA"/>
        </w:rPr>
        <w:t>习近平总书记</w:t>
      </w:r>
      <w:r>
        <w:rPr>
          <w:rFonts w:hint="eastAsia" w:ascii="仿宋_GB2312" w:hAnsi="仿宋_GB2312" w:eastAsia="仿宋_GB2312" w:cs="Times New Roman"/>
          <w:kern w:val="2"/>
          <w:sz w:val="30"/>
          <w:szCs w:val="22"/>
          <w:lang w:val="en-US" w:eastAsia="zh-CN" w:bidi="ar-SA"/>
        </w:rPr>
        <w:t>3月</w:t>
      </w:r>
      <w:r>
        <w:rPr>
          <w:rFonts w:hint="default" w:ascii="仿宋_GB2312" w:hAnsi="仿宋_GB2312" w:eastAsia="仿宋_GB2312" w:cs="Times New Roman"/>
          <w:kern w:val="2"/>
          <w:sz w:val="30"/>
          <w:szCs w:val="22"/>
          <w:lang w:val="en-US" w:eastAsia="zh-CN" w:bidi="ar-SA"/>
        </w:rPr>
        <w:t>30日在浙江省安吉县天荒坪镇余村考察，同村民们亲切交谈，了解该村多年来践行“绿水青山就是金山银山”理念、推动绿色发展发生的巨大变化。随后，习近平前往安吉县社会矛盾纠纷调处化解中心调研，了解基层矛盾纠纷调解工作情况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leftChars="0" w:right="0" w:rightChars="0" w:firstLine="600" w:firstLineChars="0"/>
        <w:jc w:val="left"/>
        <w:textAlignment w:val="auto"/>
        <w:rPr>
          <w:rFonts w:hint="eastAsia" w:ascii="仿宋_GB2312" w:hAnsi="仿宋_GB2312" w:eastAsia="仿宋_GB2312" w:cs="Times New Roman"/>
          <w:kern w:val="2"/>
          <w:sz w:val="30"/>
          <w:szCs w:val="22"/>
          <w:lang w:val="en-US" w:eastAsia="zh-CN" w:bidi="ar-SA"/>
        </w:rPr>
      </w:pPr>
      <w:r>
        <w:rPr>
          <w:rFonts w:hint="default" w:ascii="仿宋_GB2312" w:hAnsi="仿宋_GB2312" w:eastAsia="仿宋_GB2312" w:cs="Times New Roman"/>
          <w:kern w:val="2"/>
          <w:sz w:val="30"/>
          <w:szCs w:val="22"/>
          <w:lang w:val="en-US" w:eastAsia="zh-CN" w:bidi="ar-SA"/>
        </w:rPr>
        <w:t>“绿水青山就是金山银山。”这是党的十八大以来，习近平总书记讲的最深入人心的“金句”之一。这句话正是15年前习近平在浙江提出的。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leftChars="0" w:right="0" w:rightChars="0" w:firstLine="600" w:firstLineChars="0"/>
        <w:jc w:val="left"/>
        <w:textAlignment w:val="auto"/>
        <w:rPr>
          <w:rFonts w:hint="eastAsia" w:ascii="仿宋_GB2312" w:hAnsi="仿宋_GB2312" w:eastAsia="仿宋_GB2312" w:cs="Times New Roman"/>
          <w:kern w:val="2"/>
          <w:sz w:val="30"/>
          <w:szCs w:val="22"/>
          <w:lang w:val="en-US" w:eastAsia="zh-CN" w:bidi="ar-SA"/>
        </w:rPr>
      </w:pPr>
      <w:r>
        <w:rPr>
          <w:rFonts w:hint="default" w:ascii="仿宋_GB2312" w:hAnsi="仿宋_GB2312" w:eastAsia="仿宋_GB2312" w:cs="Times New Roman"/>
          <w:kern w:val="2"/>
          <w:sz w:val="30"/>
          <w:szCs w:val="22"/>
          <w:lang w:val="en-US" w:eastAsia="zh-CN" w:bidi="ar-SA"/>
        </w:rPr>
        <w:t>浙江，是他工作了6年的地方。2005年8月15日，时任浙江省委书记的习近平到浙江安吉天荒坪镇余村考察时，提出了“绿水青山就是金山银山”这一理念。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leftChars="0" w:right="0" w:rightChars="0" w:firstLine="600" w:firstLineChars="0"/>
        <w:jc w:val="left"/>
        <w:textAlignment w:val="auto"/>
        <w:rPr>
          <w:rFonts w:hint="eastAsia" w:ascii="仿宋_GB2312" w:hAnsi="仿宋_GB2312" w:eastAsia="仿宋_GB2312" w:cs="Times New Roman"/>
          <w:kern w:val="2"/>
          <w:sz w:val="30"/>
          <w:szCs w:val="22"/>
          <w:lang w:val="en-US" w:eastAsia="zh-CN" w:bidi="ar-SA"/>
        </w:rPr>
      </w:pPr>
      <w:r>
        <w:rPr>
          <w:rFonts w:hint="default" w:ascii="仿宋_GB2312" w:hAnsi="仿宋_GB2312" w:eastAsia="仿宋_GB2312" w:cs="Times New Roman"/>
          <w:kern w:val="2"/>
          <w:sz w:val="30"/>
          <w:szCs w:val="22"/>
          <w:lang w:val="en-US" w:eastAsia="zh-CN" w:bidi="ar-SA"/>
        </w:rPr>
        <w:t>9天后，他在浙江日报《之江新语》专栏发表评论指出：“生态环境优势转化为生态农业、生态工业、生态旅游等生态经济的优势，那么绿水青山也就变成了金山银山。”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leftChars="0" w:right="0" w:rightChars="0" w:firstLine="600" w:firstLineChars="0"/>
        <w:jc w:val="left"/>
        <w:textAlignment w:val="auto"/>
        <w:rPr>
          <w:rFonts w:hint="eastAsia" w:ascii="仿宋_GB2312" w:hAnsi="仿宋_GB2312" w:eastAsia="仿宋_GB2312" w:cs="Times New Roman"/>
          <w:kern w:val="2"/>
          <w:sz w:val="30"/>
          <w:szCs w:val="22"/>
          <w:lang w:val="en-US" w:eastAsia="zh-CN" w:bidi="ar-SA"/>
        </w:rPr>
      </w:pPr>
      <w:r>
        <w:rPr>
          <w:rFonts w:hint="default" w:ascii="仿宋_GB2312" w:hAnsi="仿宋_GB2312" w:eastAsia="仿宋_GB2312" w:cs="Times New Roman"/>
          <w:kern w:val="2"/>
          <w:sz w:val="30"/>
          <w:szCs w:val="22"/>
          <w:lang w:val="en-US" w:eastAsia="zh-CN" w:bidi="ar-SA"/>
        </w:rPr>
        <w:t>理解“绿水青山就是金山银山”的内涵关键在于理解这二者的辩证统一关系。绿水青山和金山银山不是“鱼与熊掌”，生态环境保护和经济发展也并非矛盾对立。发展经济不能对资源和生态环境竭泽而渔，生态环境保护也不是舍弃经济发展而缘木求鱼，要坚持在发展中保护、在保护中发展，实现经济社会发展与人口、资源、环境相协调，使绿水青山产生巨大生态效益、经济效益、社会效益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leftChars="0" w:right="0" w:rightChars="0" w:firstLine="600" w:firstLineChars="0"/>
        <w:jc w:val="left"/>
        <w:textAlignment w:val="auto"/>
        <w:rPr>
          <w:rFonts w:hint="eastAsia" w:ascii="仿宋_GB2312" w:hAnsi="仿宋_GB2312" w:eastAsia="仿宋_GB2312" w:cs="Times New Roman"/>
          <w:kern w:val="2"/>
          <w:sz w:val="30"/>
          <w:szCs w:val="22"/>
          <w:lang w:val="en-US" w:eastAsia="zh-CN" w:bidi="ar-SA"/>
        </w:rPr>
      </w:pPr>
      <w:r>
        <w:rPr>
          <w:rFonts w:hint="default" w:ascii="仿宋_GB2312" w:hAnsi="仿宋_GB2312" w:eastAsia="仿宋_GB2312" w:cs="Times New Roman"/>
          <w:kern w:val="2"/>
          <w:sz w:val="30"/>
          <w:szCs w:val="22"/>
          <w:lang w:val="en-US" w:eastAsia="zh-CN" w:bidi="ar-SA"/>
        </w:rPr>
        <w:t>生态环境是关系党的使命宗旨的重大政治问题，是关系国计民生的重大社会问题，也是习近平始终的关切所在。15年来，他在实践中不断发展深化绿色发展理念，明确指出，“绝不能以牺牲生态环境为代价换取经济的一时发展”，多次提出“既要金山银山，又要绿水青山”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leftChars="0" w:right="0" w:rightChars="0" w:firstLine="600" w:firstLineChars="0"/>
        <w:jc w:val="left"/>
        <w:textAlignment w:val="auto"/>
        <w:rPr>
          <w:rFonts w:hint="eastAsia" w:ascii="仿宋_GB2312" w:hAnsi="仿宋_GB2312" w:eastAsia="仿宋_GB2312" w:cs="Times New Roman"/>
          <w:kern w:val="2"/>
          <w:sz w:val="30"/>
          <w:szCs w:val="22"/>
          <w:lang w:val="en-US" w:eastAsia="zh-CN" w:bidi="ar-SA"/>
        </w:rPr>
      </w:pPr>
      <w:r>
        <w:rPr>
          <w:rFonts w:hint="default" w:ascii="仿宋_GB2312" w:hAnsi="仿宋_GB2312" w:eastAsia="仿宋_GB2312" w:cs="Times New Roman"/>
          <w:kern w:val="2"/>
          <w:sz w:val="30"/>
          <w:szCs w:val="22"/>
          <w:lang w:val="en-US" w:eastAsia="zh-CN" w:bidi="ar-SA"/>
        </w:rPr>
        <w:t>保护绿水青山、开展生态文明建设要统筹兼顾、整体施策、多措并举，坚持全方位、全地域、全过程。保护黄河流域生态、保护海洋、保护珍稀植物……“山水林田湖草是生命共同体”，总书记时刻关心着生态文明建设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leftChars="0" w:right="0" w:rightChars="0" w:firstLine="600" w:firstLineChars="0"/>
        <w:jc w:val="left"/>
        <w:textAlignment w:val="auto"/>
        <w:rPr>
          <w:rFonts w:hint="eastAsia" w:ascii="仿宋_GB2312" w:hAnsi="仿宋_GB2312" w:eastAsia="仿宋_GB2312" w:cs="Times New Roman"/>
          <w:kern w:val="2"/>
          <w:sz w:val="30"/>
          <w:szCs w:val="22"/>
          <w:lang w:val="en-US" w:eastAsia="zh-CN" w:bidi="ar-SA"/>
        </w:rPr>
      </w:pPr>
      <w:r>
        <w:rPr>
          <w:rFonts w:hint="default" w:ascii="仿宋_GB2312" w:hAnsi="仿宋_GB2312" w:eastAsia="仿宋_GB2312" w:cs="Times New Roman"/>
          <w:kern w:val="2"/>
          <w:sz w:val="30"/>
          <w:szCs w:val="22"/>
          <w:lang w:val="en-US" w:eastAsia="zh-CN" w:bidi="ar-SA"/>
        </w:rPr>
        <w:t>党的十八大以来，习近平在国际国内重要会议上、在地方考察中频频强调绿色发展理念。在每年的全国两会上，更是反复告诫：多做经济发展和生态保护相协调相促进的文章，打好污染防治攻坚战，突出打好蓝天、碧水、净土三大保卫战；要加强生态环境保护建设，统筹山水林田湖草治理；要加大污染防治和防沙治沙力度……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leftChars="0" w:right="0" w:rightChars="0" w:firstLine="600" w:firstLineChars="0"/>
        <w:jc w:val="left"/>
        <w:textAlignment w:val="auto"/>
        <w:rPr>
          <w:rFonts w:hint="eastAsia" w:ascii="仿宋_GB2312" w:hAnsi="仿宋_GB2312" w:eastAsia="仿宋_GB2312" w:cs="Times New Roman"/>
          <w:kern w:val="2"/>
          <w:sz w:val="30"/>
          <w:szCs w:val="22"/>
          <w:lang w:val="en-US" w:eastAsia="zh-CN" w:bidi="ar-SA"/>
        </w:rPr>
      </w:pPr>
      <w:r>
        <w:rPr>
          <w:rFonts w:hint="default" w:ascii="仿宋_GB2312" w:hAnsi="仿宋_GB2312" w:eastAsia="仿宋_GB2312" w:cs="Times New Roman"/>
          <w:kern w:val="2"/>
          <w:sz w:val="30"/>
          <w:szCs w:val="22"/>
          <w:lang w:val="en-US" w:eastAsia="zh-CN" w:bidi="ar-SA"/>
        </w:rPr>
        <w:t>生态环境保护蕴含着潜在需求，这些需求能够激发供给、形成新的增长点。我国进入高质量发展阶段，生态环境的支撑作用越来越明显。只要贯彻新发展理念，绿水青山就可以成为金山银山。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leftChars="0" w:right="0" w:rightChars="0" w:firstLine="600" w:firstLineChars="0"/>
        <w:jc w:val="left"/>
        <w:textAlignment w:val="auto"/>
        <w:rPr>
          <w:rFonts w:hint="eastAsia" w:ascii="仿宋_GB2312" w:hAnsi="仿宋_GB2312" w:eastAsia="仿宋_GB2312" w:cs="Times New Roman"/>
          <w:kern w:val="2"/>
          <w:sz w:val="30"/>
          <w:szCs w:val="22"/>
          <w:lang w:val="en-US" w:eastAsia="zh-CN" w:bidi="ar-SA"/>
        </w:rPr>
      </w:pPr>
      <w:r>
        <w:rPr>
          <w:rFonts w:hint="default" w:ascii="仿宋_GB2312" w:hAnsi="仿宋_GB2312" w:eastAsia="仿宋_GB2312" w:cs="Times New Roman"/>
          <w:kern w:val="2"/>
          <w:sz w:val="30"/>
          <w:szCs w:val="22"/>
          <w:lang w:val="en-US" w:eastAsia="zh-CN" w:bidi="ar-SA"/>
        </w:rPr>
        <w:t>环境就是民生，青山就是美丽，蓝天也是幸福。在发展中保护、在保护中发展，方能使金山银山与绿水青山共存，让生态优势和经济发展优势互相成就，让人民获得更大福祉。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leftChars="0" w:right="0" w:rightChars="0" w:firstLine="600" w:firstLineChars="0"/>
        <w:jc w:val="right"/>
        <w:textAlignment w:val="auto"/>
        <w:rPr>
          <w:rFonts w:hint="eastAsia" w:ascii="仿宋_GB2312" w:hAnsi="仿宋_GB2312" w:eastAsia="仿宋_GB2312" w:cs="Times New Roman"/>
          <w:kern w:val="2"/>
          <w:sz w:val="30"/>
          <w:szCs w:val="22"/>
          <w:lang w:val="en-US" w:eastAsia="zh-CN" w:bidi="ar-SA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leftChars="0" w:right="0" w:rightChars="0" w:firstLine="600" w:firstLineChars="0"/>
        <w:jc w:val="right"/>
        <w:textAlignment w:val="auto"/>
        <w:rPr>
          <w:rFonts w:hint="default" w:ascii="仿宋_GB2312" w:hAnsi="仿宋_GB2312" w:eastAsia="仿宋_GB2312" w:cs="Times New Roman"/>
          <w:kern w:val="2"/>
          <w:sz w:val="30"/>
          <w:szCs w:val="22"/>
          <w:lang w:val="en-US" w:eastAsia="zh-CN" w:bidi="ar-SA"/>
        </w:rPr>
      </w:pPr>
      <w:r>
        <w:rPr>
          <w:rFonts w:hint="eastAsia" w:ascii="仿宋_GB2312" w:hAnsi="仿宋_GB2312" w:eastAsia="仿宋_GB2312" w:cs="Times New Roman"/>
          <w:kern w:val="2"/>
          <w:sz w:val="30"/>
          <w:szCs w:val="22"/>
          <w:lang w:val="en-US" w:eastAsia="zh-CN" w:bidi="ar-SA"/>
        </w:rPr>
        <w:t>（</w:t>
      </w:r>
      <w:r>
        <w:rPr>
          <w:rFonts w:hint="default" w:ascii="仿宋_GB2312" w:hAnsi="仿宋_GB2312" w:eastAsia="仿宋_GB2312" w:cs="Times New Roman"/>
          <w:kern w:val="2"/>
          <w:sz w:val="30"/>
          <w:szCs w:val="22"/>
          <w:lang w:val="en-US" w:eastAsia="zh-CN" w:bidi="ar-SA"/>
        </w:rPr>
        <w:t>新华社</w:t>
      </w:r>
      <w:r>
        <w:rPr>
          <w:rFonts w:hint="eastAsia" w:ascii="仿宋_GB2312" w:hAnsi="仿宋_GB2312" w:eastAsia="仿宋_GB2312" w:cs="Times New Roman"/>
          <w:kern w:val="2"/>
          <w:sz w:val="30"/>
          <w:szCs w:val="22"/>
          <w:lang w:val="en-US" w:eastAsia="zh-CN" w:bidi="ar-SA"/>
        </w:rPr>
        <w:t>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leftChars="0" w:right="0" w:rightChars="0" w:firstLine="600" w:firstLineChars="0"/>
        <w:jc w:val="left"/>
        <w:textAlignment w:val="auto"/>
        <w:rPr>
          <w:rFonts w:hint="eastAsia" w:ascii="仿宋_GB2312" w:hAnsi="仿宋_GB2312" w:eastAsia="仿宋_GB2312" w:cs="Times New Roman"/>
          <w:kern w:val="2"/>
          <w:sz w:val="30"/>
          <w:szCs w:val="22"/>
          <w:lang w:val="en-US" w:eastAsia="zh-CN" w:bidi="ar-SA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leftChars="0" w:right="0" w:rightChars="0" w:firstLine="600" w:firstLineChars="0"/>
        <w:jc w:val="left"/>
        <w:textAlignment w:val="auto"/>
        <w:rPr>
          <w:rFonts w:hint="eastAsia" w:ascii="仿宋_GB2312" w:hAnsi="仿宋_GB2312" w:eastAsia="仿宋_GB2312" w:cs="Times New Roman"/>
          <w:kern w:val="2"/>
          <w:sz w:val="30"/>
          <w:szCs w:val="22"/>
          <w:lang w:val="en-US" w:eastAsia="zh-CN" w:bidi="ar-SA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微软雅黑">
    <w:panose1 w:val="020B0503020204020204"/>
    <w:charset w:val="86"/>
    <w:family w:val="roman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2A4EEA"/>
    <w:rsid w:val="076E59B4"/>
    <w:rsid w:val="12325C01"/>
    <w:rsid w:val="63223974"/>
    <w:rsid w:val="6FE14BB0"/>
    <w:rsid w:val="7D2A4EE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D4D4D4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2020-06-29T01:00:00Z</dcterms:created>
  <dc:creator>袁媛</dc:creator>
  <cp:lastModifiedBy>陈蕾</cp:lastModifiedBy>
  <cp:lastPrinted>2020-08-19T02:44:50Z</cp:lastPrinted>
  <dcterms:modified xsi:type="dcterms:W3CDTF">2020-08-19T02:44:52Z</dcterms:modified>
  <dc:title>省财政厅机关妇委会学习资料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